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color w:val="156082"/>
          <w:sz w:val="30"/>
          <w:szCs w:val="30"/>
        </w:rPr>
      </w:pPr>
      <w:r w:rsidDel="00000000" w:rsidR="00000000" w:rsidRPr="00000000">
        <w:rPr>
          <w:rFonts w:ascii="Times New Roman" w:cs="Times New Roman" w:eastAsia="Times New Roman" w:hAnsi="Times New Roman"/>
          <w:b w:val="1"/>
          <w:bCs w:val="1"/>
          <w:color w:val="156082"/>
          <w:sz w:val="30"/>
          <w:szCs w:val="30"/>
        </w:rPr>
        <w:drawing>
          <wp:inline distB="114300" distT="114300" distL="114300" distR="114300">
            <wp:extent cx="5943600" cy="965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jc w:val="center"/>
        <w:rPr/>
      </w:pPr>
      <w:bookmarkStart w:colFirst="0" w:colLast="0" w:name="_n9h67sf3c3d3" w:id="0"/>
      <w:bookmarkEnd w:id="0"/>
      <w:r w:rsidDel="00000000" w:rsidR="00000000" w:rsidRPr="00000000">
        <w:rPr>
          <w:rtl w:val="0"/>
        </w:rPr>
        <w:t xml:space="preserve">Center for Excellence in Teaching and Learning Annual Report</w:t>
      </w:r>
    </w:p>
    <w:p w:rsidR="00000000" w:rsidDel="00000000" w:rsidP="00000000" w:rsidRDefault="00000000" w:rsidRPr="00000000" w14:paraId="00000003">
      <w:pPr>
        <w:jc w:val="center"/>
        <w:rPr>
          <w:rFonts w:ascii="Times New Roman" w:cs="Times New Roman" w:eastAsia="Times New Roman" w:hAnsi="Times New Roman"/>
          <w:b w:val="1"/>
          <w:bCs w:val="1"/>
          <w:color w:val="156082"/>
          <w:sz w:val="26"/>
          <w:szCs w:val="26"/>
        </w:rPr>
      </w:pPr>
      <w:r w:rsidDel="00000000" w:rsidR="00000000" w:rsidRPr="00000000">
        <w:rPr>
          <w:rFonts w:ascii="Times New Roman" w:cs="Times New Roman" w:eastAsia="Times New Roman" w:hAnsi="Times New Roman"/>
          <w:b w:val="1"/>
          <w:bCs w:val="1"/>
          <w:color w:val="156082"/>
          <w:sz w:val="26"/>
          <w:szCs w:val="26"/>
          <w:rtl w:val="0"/>
        </w:rPr>
        <w:t xml:space="preserve">Academic Year: 2025-2026</w:t>
      </w:r>
    </w:p>
    <w:p w:rsidR="00000000" w:rsidDel="00000000" w:rsidP="00000000" w:rsidRDefault="00000000" w:rsidRPr="00000000" w14:paraId="00000004">
      <w:pPr>
        <w:pStyle w:val="Heading1"/>
        <w:rPr/>
      </w:pPr>
      <w:bookmarkStart w:colFirst="0" w:colLast="0" w:name="_6hzkk4dxm2gc" w:id="1"/>
      <w:bookmarkEnd w:id="1"/>
      <w:r w:rsidDel="00000000" w:rsidR="00000000" w:rsidRPr="00000000">
        <w:rPr>
          <w:rtl w:val="0"/>
        </w:rPr>
        <w:t xml:space="preserve">Purpose</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document provides a comprehensive timeline of initiatives, deliverables, and adjustments made by the Center for Excellence in Teaching and Learning (CETL) for this academic year. The author of this document, the Director of the CETL, endeavors to be as detailed as possible, but additional information can be provided upon request.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Style w:val="Heading1"/>
        <w:rPr/>
      </w:pPr>
      <w:bookmarkStart w:colFirst="0" w:colLast="0" w:name="_8d7gftn1v7yx" w:id="2"/>
      <w:bookmarkEnd w:id="2"/>
      <w:r w:rsidDel="00000000" w:rsidR="00000000" w:rsidRPr="00000000">
        <w:rPr>
          <w:rtl w:val="0"/>
        </w:rPr>
        <w:t xml:space="preserve">Strategic Plan</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accordance with the CETL’s Strategic Plan, composed in July 2024 and available in appendix A, the following goals were at the forefront of our development during this academic year.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Secure Physical Space and Budget Planning</w:t>
      </w:r>
    </w:p>
    <w:p w:rsidR="00000000" w:rsidDel="00000000" w:rsidP="00000000" w:rsidRDefault="00000000" w:rsidRPr="00000000" w14:paraId="0000000B">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CETL Staff and Programming</w:t>
      </w:r>
    </w:p>
    <w:p w:rsidR="00000000" w:rsidDel="00000000" w:rsidP="00000000" w:rsidRDefault="00000000" w:rsidRPr="00000000" w14:paraId="0000000C">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Comprehensive Library</w:t>
      </w:r>
    </w:p>
    <w:p w:rsidR="00000000" w:rsidDel="00000000" w:rsidP="00000000" w:rsidRDefault="00000000" w:rsidRPr="00000000" w14:paraId="0000000D">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Orientation Resources to Adjunct Faculty Orientation</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Thankfully, a physical space had already been decided during the summer of 2025, so we started this year at an advantage. The CETL officially moved into room 337 in August 2025, and as of the composition of this document, it features a table, chairs, whiteboard, erasable calendar, and our physical library. The room is available for small meetings, as well.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interest of expanding our staff, we refocused to put faculty development at the forefront of our initiatives. As such, our student services position became a distance education position, which has worked incredibly well. We’ve been able to expand our efforts into that content area, which is discussed in depth later in this report. Our programming has increased, as well, with monthly offerings, newsletters, our YouTube channel, and major plans for sustained professional development over the course of the next few years.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Library development started during our first year, and we can now say that in addition to growing every semester, some of the texts have been incorporated into the New Faculty Academy’s syllabus under required readings.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orientations were formally placed under the CETL umbrella. The schedules for both full-time and adjunct orientation have been created, and adjuncts have been surveyed for their continued interest in professional development. This is discussed at length later in the report.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such, it can be concluded that the CETL met all goals for this academic year. Now, let’s dive deeper into each of the initiatives. </w:t>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Style w:val="Heading1"/>
        <w:rPr/>
      </w:pPr>
      <w:bookmarkStart w:colFirst="0" w:colLast="0" w:name="_l4xriofoyfqv" w:id="3"/>
      <w:bookmarkEnd w:id="3"/>
      <w:r w:rsidDel="00000000" w:rsidR="00000000" w:rsidRPr="00000000">
        <w:rPr>
          <w:rtl w:val="0"/>
        </w:rPr>
        <w:t xml:space="preserve">Major Initiatives</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CETL was focused on several different large-scale projects over the course of this academic year. This section specifically pertains to those that require multi-step rollout plans, so information about monthly sessions, meetings, etc. can be found in the following section.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pStyle w:val="Heading2"/>
        <w:rPr/>
      </w:pPr>
      <w:bookmarkStart w:colFirst="0" w:colLast="0" w:name="_liai0atfwx11" w:id="4"/>
      <w:bookmarkEnd w:id="4"/>
      <w:r w:rsidDel="00000000" w:rsidR="00000000" w:rsidRPr="00000000">
        <w:rPr>
          <w:rtl w:val="0"/>
        </w:rPr>
        <w:t xml:space="preserve">ACUE Implementation</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CETL team started working with a representative from the Association of College and University Educators (ACUE) during the Fall 2025 semester. Over the course of that semester, the team discussed the three packages on offer for participating colleges, featuring both national and institutional cohorts. Ultimately, Mountwest decided on the institutional cohort, the first of which will be launching in August 2026. The first cohort will have twenty-five participants, and the second cohort will have twenty participants.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prepare for this two-year participation, the CETL team began developing a rollout plan in January 2026. This plan, which is linked in the appendix B, includes a comprehensive breakdown of all expectations, meetings, and deliverables for every month between August 2026 and May 2028.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soft launch for this initiative took place on Wednesday, April 15, during which all of these plans were discussed with faculty. The session was recorded, uploaded to the CETL YouTube channel, and emailed to all full-time faculty after the fact. This email also included a participation survey, which is available in appendix C. At the time of composing this report, nine participants have submitted the survey.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Style w:val="Heading2"/>
        <w:rPr/>
      </w:pPr>
      <w:bookmarkStart w:colFirst="0" w:colLast="0" w:name="_gwvfahvb80oh" w:id="5"/>
      <w:bookmarkEnd w:id="5"/>
      <w:r w:rsidDel="00000000" w:rsidR="00000000" w:rsidRPr="00000000">
        <w:rPr>
          <w:rtl w:val="0"/>
        </w:rPr>
        <w:t xml:space="preserve">Achieving the Dream</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members of the CETL team participated in the Achieving the Dream Alliance, and the director attended the accompanying conference in March 2026. A collection of notes from the conference is included in the appendix D.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part of the Alliance, the team participated in monthly meetings, reviewed research, and completed the composition of the Building Capacity Action Plan (BCAP). Mountwest’s BCAP is available in appendix E. This BCAP helped to solidify two (2) primary needs on campus, which are enhanced professional development and a more streamlined process for obtaining and utilizing student data.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pStyle w:val="Heading2"/>
        <w:rPr/>
      </w:pPr>
      <w:bookmarkStart w:colFirst="0" w:colLast="0" w:name="_8prrtfvh0rwb" w:id="6"/>
      <w:bookmarkEnd w:id="6"/>
      <w:r w:rsidDel="00000000" w:rsidR="00000000" w:rsidRPr="00000000">
        <w:rPr>
          <w:rtl w:val="0"/>
        </w:rPr>
        <w:t xml:space="preserve">New Faculty Academy</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the most intensive in terms of hourly work, the development of the New Faculty Academy (NFA) was accomplished in stages. The first stage entailed deciding upon the course’s modules, which are the following: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numPr>
          <w:ilvl w:val="0"/>
          <w:numId w:val="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Learning and Engagement</w:t>
      </w:r>
    </w:p>
    <w:p w:rsidR="00000000" w:rsidDel="00000000" w:rsidP="00000000" w:rsidRDefault="00000000" w:rsidRPr="00000000" w14:paraId="0000002C">
      <w:pPr>
        <w:numPr>
          <w:ilvl w:val="0"/>
          <w:numId w:val="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Assessment</w:t>
      </w:r>
    </w:p>
    <w:p w:rsidR="00000000" w:rsidDel="00000000" w:rsidP="00000000" w:rsidRDefault="00000000" w:rsidRPr="00000000" w14:paraId="0000002D">
      <w:pPr>
        <w:numPr>
          <w:ilvl w:val="0"/>
          <w:numId w:val="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Advanced Pedagogical Strategies</w:t>
      </w:r>
    </w:p>
    <w:p w:rsidR="00000000" w:rsidDel="00000000" w:rsidP="00000000" w:rsidRDefault="00000000" w:rsidRPr="00000000" w14:paraId="0000002E">
      <w:pPr>
        <w:numPr>
          <w:ilvl w:val="0"/>
          <w:numId w:val="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Finishing Touches</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module includes a series of lessons within that content area, which feature written recommendations, video guides, resources, readings, and more. The syllabus for the course is available in appendix F.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ensure that the modules included all relevant and useful information, the team also surveyed faculty hired in the last two years to learn about any previous gaps in instruction or resources. That survey is available in appendix G.</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modules were created, the team then divided up the workload, with the CETL director and NFA team lead taking the brunt of the work. The first draft of the course shell was made available to full-time faculty hired in the last two years at the beginning of April 2026. On April 24, a video tour will be sent to the rest of the faculty for additional feedback.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participants in the NFA will be added in August 2026.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pStyle w:val="Heading2"/>
        <w:rPr/>
      </w:pPr>
      <w:bookmarkStart w:colFirst="0" w:colLast="0" w:name="_nln4yrsv0pd3" w:id="7"/>
      <w:bookmarkEnd w:id="7"/>
      <w:r w:rsidDel="00000000" w:rsidR="00000000" w:rsidRPr="00000000">
        <w:rPr>
          <w:rtl w:val="0"/>
        </w:rPr>
        <w:t xml:space="preserve">Quality Assurance for Online Courses</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largest focuses for Mountwest has been the quality insurance process for our online courses. The chair of the Online Oversight Committee joined the CETL team this semester, and her guidance has helped to shape our plans for the future.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of this process was setting a deadline for required training for all full-time faculty teaching flex, hybrid, and online courses. This training, offered by Marshall University, is called the H.O.M.E. Framework. Like Quality Matters, the H.O.M.E. Framework presents a collection of standards faculty must meet in order to ensure their courses are both engaging and accessible for students.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Full-time faculty teaching online, hybrid, or flex courses must do one of the following:</w:t>
      </w:r>
    </w:p>
    <w:p w:rsidR="00000000" w:rsidDel="00000000" w:rsidP="00000000" w:rsidRDefault="00000000" w:rsidRPr="00000000" w14:paraId="0000003E">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Attend one of the two H.O.M.E. Framework trainings being offered to Mountwest faculty</w:t>
      </w:r>
    </w:p>
    <w:p w:rsidR="00000000" w:rsidDel="00000000" w:rsidP="00000000" w:rsidRDefault="00000000" w:rsidRPr="00000000" w14:paraId="0000003F">
      <w:pPr>
        <w:numPr>
          <w:ilvl w:val="1"/>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May 12 (in-person) and May 14 (on Teams)</w:t>
      </w:r>
    </w:p>
    <w:p w:rsidR="00000000" w:rsidDel="00000000" w:rsidP="00000000" w:rsidRDefault="00000000" w:rsidRPr="00000000" w14:paraId="00000040">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Complete the asynchronous version of the training by July 1, 2026</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of Friday, May 15, 2026, forty-nine (49) full time faculty have completed the H.O.M.E. Framework training.</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these training sessions are just the first step. The Online Oversight Committee is currently developing a checklist for Blackboard course for all online, hybrid, and flex courses, and the CETL will be working to build its first learning community centered around online and flex teaching with the Summer Symposium, which is discussed in the next section. The CETL team is also working to create a glossary of regular and substantive interaction (RSI) terms and will plan to send monthly emails with information about best practices in the next academic year. </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pStyle w:val="Heading2"/>
        <w:rPr/>
      </w:pPr>
      <w:bookmarkStart w:colFirst="0" w:colLast="0" w:name="_3ccki2qxpbb8" w:id="8"/>
      <w:bookmarkEnd w:id="8"/>
      <w:r w:rsidDel="00000000" w:rsidR="00000000" w:rsidRPr="00000000">
        <w:rPr>
          <w:rtl w:val="0"/>
        </w:rPr>
        <w:t xml:space="preserve">Summer Symposium</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Summer Symposium, set to launch its first iteration from Tuesday, June 9 - Thursday, June 11, 2026, features a three day training sponsored by Marshall University’s Instructional Design Team and the CETL. The schedule for the Summer Symposium, available in appendix H, highlights various content areas designed to coach participating faculty through creating course shells that “exceed standards.” As such, “Exceeding Standards” is the theme of this year’s Symposium, and the primary focus is online teaching. Supplemental information about flex and hyflex courses will be available during the second half of the third day. </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building a new course shell, participants will be asked to demonstrate what they have learned and plan to implement in their courses during either a session for the Fall 2026 In-Service or a monthly session offered by the CETL during that same semester.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CETL intends to start planning its next Summer Symposium during the next academic year.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pStyle w:val="Heading2"/>
        <w:rPr/>
      </w:pPr>
      <w:bookmarkStart w:colFirst="0" w:colLast="0" w:name="_cwxfaak844kd" w:id="9"/>
      <w:bookmarkEnd w:id="9"/>
      <w:r w:rsidDel="00000000" w:rsidR="00000000" w:rsidRPr="00000000">
        <w:rPr>
          <w:rtl w:val="0"/>
        </w:rPr>
        <w:t xml:space="preserve">Adjunct Communication</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the CETL intends to expand its efforts for adjunct instructors, and that begins with developing a clear plan of action. Included in the previously referenced rollout document is the plan to address adjuncts going forward, both in terms of communication and professional development. </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Wednesday, April 15, a session dedicated solely to adjunct assessment efforts was held. The session received positive feedback across the board. On Thursday, April 16, a survey was deployed to all adjunct faculty, asking about their interest in additional professional development sessions, resources, and more. The survey is available in appendix M. </w:t>
      </w: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pStyle w:val="Heading1"/>
        <w:rPr/>
      </w:pPr>
      <w:bookmarkStart w:colFirst="0" w:colLast="0" w:name="_8ojd1b4kqs30" w:id="10"/>
      <w:bookmarkEnd w:id="10"/>
      <w:r w:rsidDel="00000000" w:rsidR="00000000" w:rsidRPr="00000000">
        <w:rPr>
          <w:rtl w:val="0"/>
        </w:rPr>
        <w:t xml:space="preserve">Major Deliverables</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section includes a condensed list of all major deliverables associated with the initiatives discussed above. </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pStyle w:val="Heading2"/>
        <w:rPr/>
      </w:pPr>
      <w:bookmarkStart w:colFirst="0" w:colLast="0" w:name="_h1lmno7k1v56" w:id="11"/>
      <w:bookmarkEnd w:id="11"/>
      <w:r w:rsidDel="00000000" w:rsidR="00000000" w:rsidRPr="00000000">
        <w:rPr>
          <w:rtl w:val="0"/>
        </w:rPr>
        <w:t xml:space="preserve">Rollout Plans</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completion of the compiled rollout plan, in addition to our Strategic Plan, will help to guide the CETL as we move into our third year. </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pStyle w:val="Heading2"/>
        <w:rPr/>
      </w:pPr>
      <w:bookmarkStart w:colFirst="0" w:colLast="0" w:name="_1ncawtekk8ga" w:id="12"/>
      <w:bookmarkEnd w:id="12"/>
      <w:r w:rsidDel="00000000" w:rsidR="00000000" w:rsidRPr="00000000">
        <w:rPr>
          <w:rtl w:val="0"/>
        </w:rPr>
        <w:t xml:space="preserve">New Faculty Academy: Course Shell</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completed NFA course shell exemplifies our best practices and resources for faculty as they start their journey at Mountwest.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pStyle w:val="Heading2"/>
        <w:rPr/>
      </w:pPr>
      <w:bookmarkStart w:colFirst="0" w:colLast="0" w:name="_m3vuzimcgy8i" w:id="13"/>
      <w:bookmarkEnd w:id="13"/>
      <w:r w:rsidDel="00000000" w:rsidR="00000000" w:rsidRPr="00000000">
        <w:rPr>
          <w:rtl w:val="0"/>
        </w:rPr>
        <w:t xml:space="preserve">Guidelines for Quality Assurance for Online Courses</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rollout plan, these guidelines will serve as a foundation for all future development for quality assurance. Long-term goals for quality assurance include developing a peer to peer observation for online courses and, possibly, tiered training pathways for teaching vs. developing online, flex, and hybrid courses. </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pStyle w:val="Heading2"/>
        <w:rPr/>
      </w:pPr>
      <w:bookmarkStart w:colFirst="0" w:colLast="0" w:name="_mtjplkw5ls0t" w:id="14"/>
      <w:bookmarkEnd w:id="14"/>
      <w:r w:rsidDel="00000000" w:rsidR="00000000" w:rsidRPr="00000000">
        <w:rPr>
          <w:rtl w:val="0"/>
        </w:rPr>
        <w:t xml:space="preserve">Orientation Schedules</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and adjunct faculty orientations can be found in appendices I and J, respectively. </w:t>
      </w: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pStyle w:val="Heading1"/>
        <w:rPr/>
      </w:pPr>
      <w:bookmarkStart w:colFirst="0" w:colLast="0" w:name="_8jrls2wm0iet" w:id="15"/>
      <w:bookmarkEnd w:id="15"/>
      <w:r w:rsidDel="00000000" w:rsidR="00000000" w:rsidRPr="00000000">
        <w:rPr>
          <w:rtl w:val="0"/>
        </w:rPr>
        <w:t xml:space="preserve">Minor Deliverables</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deliverables, though smaller in scale, still serve a positive and impactful purpose for our CETL. </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pStyle w:val="Heading2"/>
        <w:rPr/>
      </w:pPr>
      <w:bookmarkStart w:colFirst="0" w:colLast="0" w:name="_gyy9enqphyfx" w:id="16"/>
      <w:bookmarkEnd w:id="16"/>
      <w:r w:rsidDel="00000000" w:rsidR="00000000" w:rsidRPr="00000000">
        <w:rPr>
          <w:rtl w:val="0"/>
        </w:rPr>
        <w:t xml:space="preserve">Physical Space Development</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aforementioned, our office is now a warm and inviting space for solo studying or small group (2-4 people) endeavors. However, we would like it to grow over time in terms of its library collection and, perhaps, a computer and coffee pot. </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pStyle w:val="Heading2"/>
        <w:rPr/>
      </w:pPr>
      <w:bookmarkStart w:colFirst="0" w:colLast="0" w:name="_13dhkpwjfct3" w:id="17"/>
      <w:bookmarkEnd w:id="17"/>
      <w:r w:rsidDel="00000000" w:rsidR="00000000" w:rsidRPr="00000000">
        <w:rPr>
          <w:rtl w:val="0"/>
        </w:rPr>
        <w:t xml:space="preserve">Monthly Sessions</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course of this academic year, the CETL offered ten individual sessions, which were the following: </w:t>
      </w:r>
    </w:p>
    <w:p w:rsidR="00000000" w:rsidDel="00000000" w:rsidP="00000000" w:rsidRDefault="00000000" w:rsidRPr="00000000" w14:paraId="00000069">
      <w:pPr>
        <w:numPr>
          <w:ilvl w:val="0"/>
          <w:numId w:val="8"/>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Benefits of Service Learning</w:t>
      </w:r>
    </w:p>
    <w:p w:rsidR="00000000" w:rsidDel="00000000" w:rsidP="00000000" w:rsidRDefault="00000000" w:rsidRPr="00000000" w14:paraId="0000006A">
      <w:pPr>
        <w:numPr>
          <w:ilvl w:val="0"/>
          <w:numId w:val="8"/>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Fix Your Content Day (in conjunction with Marshall University)</w:t>
      </w:r>
    </w:p>
    <w:p w:rsidR="00000000" w:rsidDel="00000000" w:rsidP="00000000" w:rsidRDefault="00000000" w:rsidRPr="00000000" w14:paraId="0000006B">
      <w:pPr>
        <w:numPr>
          <w:ilvl w:val="0"/>
          <w:numId w:val="8"/>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Teaching with Artificial Intelligence (featuring Dr. David Wiley)</w:t>
      </w:r>
    </w:p>
    <w:p w:rsidR="00000000" w:rsidDel="00000000" w:rsidP="00000000" w:rsidRDefault="00000000" w:rsidRPr="00000000" w14:paraId="0000006C">
      <w:pPr>
        <w:numPr>
          <w:ilvl w:val="0"/>
          <w:numId w:val="8"/>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Wellness Fridays</w:t>
      </w:r>
    </w:p>
    <w:p w:rsidR="00000000" w:rsidDel="00000000" w:rsidP="00000000" w:rsidRDefault="00000000" w:rsidRPr="00000000" w14:paraId="0000006D">
      <w:pPr>
        <w:numPr>
          <w:ilvl w:val="1"/>
          <w:numId w:val="8"/>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Self Care</w:t>
      </w:r>
    </w:p>
    <w:p w:rsidR="00000000" w:rsidDel="00000000" w:rsidP="00000000" w:rsidRDefault="00000000" w:rsidRPr="00000000" w14:paraId="0000006E">
      <w:pPr>
        <w:numPr>
          <w:ilvl w:val="1"/>
          <w:numId w:val="8"/>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Compassion Fatigue and Managing Student Emotions</w:t>
      </w:r>
    </w:p>
    <w:p w:rsidR="00000000" w:rsidDel="00000000" w:rsidP="00000000" w:rsidRDefault="00000000" w:rsidRPr="00000000" w14:paraId="0000006F">
      <w:pPr>
        <w:numPr>
          <w:ilvl w:val="1"/>
          <w:numId w:val="8"/>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Burnout</w:t>
      </w:r>
    </w:p>
    <w:p w:rsidR="00000000" w:rsidDel="00000000" w:rsidP="00000000" w:rsidRDefault="00000000" w:rsidRPr="00000000" w14:paraId="00000070">
      <w:pPr>
        <w:numPr>
          <w:ilvl w:val="0"/>
          <w:numId w:val="8"/>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Designing Engaging Online Courses</w:t>
      </w:r>
    </w:p>
    <w:p w:rsidR="00000000" w:rsidDel="00000000" w:rsidP="00000000" w:rsidRDefault="00000000" w:rsidRPr="00000000" w14:paraId="00000071">
      <w:pPr>
        <w:numPr>
          <w:ilvl w:val="0"/>
          <w:numId w:val="8"/>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Demystifying Presenting and Publishing</w:t>
      </w:r>
    </w:p>
    <w:p w:rsidR="00000000" w:rsidDel="00000000" w:rsidP="00000000" w:rsidRDefault="00000000" w:rsidRPr="00000000" w14:paraId="00000072">
      <w:pPr>
        <w:numPr>
          <w:ilvl w:val="0"/>
          <w:numId w:val="8"/>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General Education Alignment Maps</w:t>
      </w:r>
    </w:p>
    <w:p w:rsidR="00000000" w:rsidDel="00000000" w:rsidP="00000000" w:rsidRDefault="00000000" w:rsidRPr="00000000" w14:paraId="00000073">
      <w:pPr>
        <w:numPr>
          <w:ilvl w:val="0"/>
          <w:numId w:val="8"/>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Things ACUE</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Promotional materials for these sessions were available via email, on the campus television screens, in newsletters, and more. Each session was evaluated using the same CETL Workshop Evaluation Survey that was developed last year. Reception continues to be positive. If you would like individual reports for each session, please reach out to the director of the CETL.</w:t>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pStyle w:val="Heading2"/>
        <w:rPr/>
      </w:pPr>
      <w:bookmarkStart w:colFirst="0" w:colLast="0" w:name="_cxgr2anwwukb" w:id="18"/>
      <w:bookmarkEnd w:id="18"/>
      <w:r w:rsidDel="00000000" w:rsidR="00000000" w:rsidRPr="00000000">
        <w:rPr>
          <w:rtl w:val="0"/>
        </w:rPr>
        <w:t xml:space="preserve">In-Service Planning</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of April 15, In-Service planning is underway. The dates (Aug. 17 and 18) have been identified, and a call for proposals will be sent to all full-time faculty during the week of April 20. The call for proposals can be found in appendix K.</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pStyle w:val="Heading2"/>
        <w:rPr/>
      </w:pPr>
      <w:bookmarkStart w:colFirst="0" w:colLast="0" w:name="_gapypwcbe8bc" w:id="19"/>
      <w:bookmarkEnd w:id="19"/>
      <w:r w:rsidDel="00000000" w:rsidR="00000000" w:rsidRPr="00000000">
        <w:rPr>
          <w:rtl w:val="0"/>
        </w:rPr>
        <w:t xml:space="preserve">Performance Statistics</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time of composing this report, the CETL Workshop Evaluation Survey has one hundred and two total submissions over the course of two academic years. Several of the questions ask for specific information about session titles, outcomes, etc., but the following are more easily quantified. More in-depth data is available upon request. </w:t>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response to the question, “Were relevant instruction materials made available to you during the workshop/session?”</w:t>
      </w:r>
      <w:r w:rsidDel="00000000" w:rsidR="00000000" w:rsidRPr="00000000">
        <w:rPr>
          <w:rFonts w:ascii="Times New Roman" w:cs="Times New Roman" w:eastAsia="Times New Roman" w:hAnsi="Times New Roman"/>
          <w:sz w:val="24"/>
          <w:szCs w:val="24"/>
          <w:rtl w:val="0"/>
        </w:rPr>
        <w:t xml:space="preserve">, 96</w:t>
      </w:r>
      <w:r w:rsidDel="00000000" w:rsidR="00000000" w:rsidRPr="00000000">
        <w:rPr>
          <w:rFonts w:ascii="Times New Roman" w:cs="Times New Roman" w:eastAsia="Times New Roman" w:hAnsi="Times New Roman"/>
          <w:sz w:val="24"/>
          <w:szCs w:val="24"/>
          <w:rtl w:val="0"/>
        </w:rPr>
        <w:t xml:space="preserve"> percent of respondents said yes. </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response to the question, “On a scale of one to five, with five being ‘excellent,’ how would you rate the presenter’s execution of the workshop?”, 72 respondents selected a 5, 24 selected a 4, and only six total respondents selected lower. The average performance score for this question is 4.63. </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 response to the question, “</w:t>
      </w:r>
      <w:r w:rsidDel="00000000" w:rsidR="00000000" w:rsidRPr="00000000">
        <w:rPr>
          <w:rFonts w:ascii="Times New Roman" w:cs="Times New Roman" w:eastAsia="Times New Roman" w:hAnsi="Times New Roman"/>
          <w:sz w:val="24"/>
          <w:szCs w:val="24"/>
          <w:highlight w:val="white"/>
          <w:rtl w:val="0"/>
        </w:rPr>
        <w:t xml:space="preserve">On a scale of one to five, with five being "incredibly likely," how likely are you to attend workshops/sessions offered by the Center for Excellence in Teaching and Learning in the future?”, 80 respondents selected a 4, 19 selected a 4, and 3 selected a 3. The average performance score for this question is a 4.75. </w:t>
      </w:r>
    </w:p>
    <w:p w:rsidR="00000000" w:rsidDel="00000000" w:rsidP="00000000" w:rsidRDefault="00000000" w:rsidRPr="00000000" w14:paraId="00000081">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the composite word cloud at the conclusion of the results page in Microsoft Forms, the largest words used to describe the sessions are “great” and “good.” </w:t>
      </w:r>
    </w:p>
    <w:p w:rsidR="00000000" w:rsidDel="00000000" w:rsidP="00000000" w:rsidRDefault="00000000" w:rsidRPr="00000000" w14:paraId="00000083">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However, due to time availability and other responsibilities, the average attendance at CETL events this semester was 10. This isn’t terrible, but the team would like it to be higher. Undoubtedly, the YouTube channel helps in this regard, and the team widely publicizes the availability of session recordings. </w:t>
      </w:r>
    </w:p>
    <w:p w:rsidR="00000000" w:rsidDel="00000000" w:rsidP="00000000" w:rsidRDefault="00000000" w:rsidRPr="00000000" w14:paraId="00000085">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6">
      <w:pPr>
        <w:pStyle w:val="Heading1"/>
        <w:rPr/>
      </w:pPr>
      <w:bookmarkStart w:colFirst="0" w:colLast="0" w:name="_v3z55zipuy44" w:id="20"/>
      <w:bookmarkEnd w:id="20"/>
      <w:r w:rsidDel="00000000" w:rsidR="00000000" w:rsidRPr="00000000">
        <w:rPr>
          <w:rtl w:val="0"/>
        </w:rPr>
        <w:t xml:space="preserve">Plans for the Future</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previous annual report, this section outlines our plans for the upcoming year. </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pStyle w:val="Heading2"/>
        <w:rPr/>
      </w:pPr>
      <w:bookmarkStart w:colFirst="0" w:colLast="0" w:name="_pgattrmrc0v" w:id="21"/>
      <w:bookmarkEnd w:id="21"/>
      <w:r w:rsidDel="00000000" w:rsidR="00000000" w:rsidRPr="00000000">
        <w:rPr>
          <w:rtl w:val="0"/>
        </w:rPr>
        <w:t xml:space="preserve">ACUE Launch in August ‘26</w:t>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ACUE launch, we will be embarking on our largest (though not the only) step towards enhanced professional development. The CETL will be offering optional bi-weekly meetings, email check-ins, and plenty of resources to assist in these efforts. </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pStyle w:val="Heading2"/>
        <w:rPr/>
      </w:pPr>
      <w:bookmarkStart w:colFirst="0" w:colLast="0" w:name="_fzqx4yewdlvo" w:id="22"/>
      <w:bookmarkEnd w:id="22"/>
      <w:r w:rsidDel="00000000" w:rsidR="00000000" w:rsidRPr="00000000">
        <w:rPr>
          <w:rtl w:val="0"/>
        </w:rPr>
        <w:t xml:space="preserve">Summer Symposium: Future Offerings</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long as we are able, the CETL wants to continue to offer the Summer Symposium. Each summer will have a different theme. Following current trends, the tentative theme for next summer will be developing and enhancing hyflex instruction. </w:t>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pStyle w:val="Heading2"/>
        <w:rPr/>
      </w:pPr>
      <w:bookmarkStart w:colFirst="0" w:colLast="0" w:name="_577b0paopc1a" w:id="23"/>
      <w:bookmarkEnd w:id="23"/>
      <w:r w:rsidDel="00000000" w:rsidR="00000000" w:rsidRPr="00000000">
        <w:rPr>
          <w:rtl w:val="0"/>
        </w:rPr>
        <w:t xml:space="preserve">Strategic Plan</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Strategic Plan, the third year of the CETL’s development should be focused on the following: </w:t>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numPr>
          <w:ilvl w:val="0"/>
          <w:numId w:val="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Implement Communication and Marketing Strategy</w:t>
      </w:r>
    </w:p>
    <w:p w:rsidR="00000000" w:rsidDel="00000000" w:rsidP="00000000" w:rsidRDefault="00000000" w:rsidRPr="00000000" w14:paraId="00000093">
      <w:pPr>
        <w:numPr>
          <w:ilvl w:val="0"/>
          <w:numId w:val="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Broaden Scope with Advanced Workshops</w:t>
      </w:r>
    </w:p>
    <w:p w:rsidR="00000000" w:rsidDel="00000000" w:rsidP="00000000" w:rsidRDefault="00000000" w:rsidRPr="00000000" w14:paraId="00000094">
      <w:pPr>
        <w:numPr>
          <w:ilvl w:val="0"/>
          <w:numId w:val="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Establish Impact Assessment and Feedback Mechanisms</w:t>
      </w:r>
    </w:p>
    <w:p w:rsidR="00000000" w:rsidDel="00000000" w:rsidP="00000000" w:rsidRDefault="00000000" w:rsidRPr="00000000" w14:paraId="00000095">
      <w:pPr>
        <w:numPr>
          <w:ilvl w:val="0"/>
          <w:numId w:val="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Evaluate and Refine Orientation Programs</w:t>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has been established throughout this annual report, we are in an excellent position to address each of these goals. Arguably, they’re all in the works right now. </w:t>
      </w: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pStyle w:val="Heading1"/>
        <w:rPr/>
      </w:pPr>
      <w:bookmarkStart w:colFirst="0" w:colLast="0" w:name="_6q9o16gmshqn" w:id="24"/>
      <w:bookmarkEnd w:id="24"/>
      <w:r w:rsidDel="00000000" w:rsidR="00000000" w:rsidRPr="00000000">
        <w:rPr>
          <w:rtl w:val="0"/>
        </w:rPr>
        <w:t xml:space="preserve">Comprehensive Timeline</w:t>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Below, you will see a timeline version of the last academic year. </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Month</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Major Developments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CETL develops In-Service schedule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The Benefits of Service Learning</w:t>
            </w:r>
          </w:p>
          <w:p w:rsidR="00000000" w:rsidDel="00000000" w:rsidP="00000000" w:rsidRDefault="00000000" w:rsidRPr="00000000" w14:paraId="000000A2">
            <w:pPr>
              <w:widowControl w:val="0"/>
              <w:numPr>
                <w:ilvl w:val="0"/>
                <w:numId w:val="1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Office receive new supplies</w:t>
            </w:r>
          </w:p>
          <w:p w:rsidR="00000000" w:rsidDel="00000000" w:rsidP="00000000" w:rsidRDefault="00000000" w:rsidRPr="00000000" w14:paraId="000000A3">
            <w:pPr>
              <w:widowControl w:val="0"/>
              <w:numPr>
                <w:ilvl w:val="0"/>
                <w:numId w:val="1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Bi-weekly meetings commence for CETL team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Fix Your Content Day</w:t>
            </w:r>
          </w:p>
          <w:p w:rsidR="00000000" w:rsidDel="00000000" w:rsidP="00000000" w:rsidRDefault="00000000" w:rsidRPr="00000000" w14:paraId="000000A6">
            <w:pPr>
              <w:widowControl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ACUE conversations begin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numPr>
                <w:ilvl w:val="0"/>
                <w:numId w:val="1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Teaching with Artificial Intelligence</w:t>
            </w:r>
          </w:p>
          <w:p w:rsidR="00000000" w:rsidDel="00000000" w:rsidP="00000000" w:rsidRDefault="00000000" w:rsidRPr="00000000" w14:paraId="000000A9">
            <w:pPr>
              <w:widowControl w:val="0"/>
              <w:numPr>
                <w:ilvl w:val="0"/>
                <w:numId w:val="1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In-Service planning begins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Activity: Stress Less for Faculty and Staff</w:t>
            </w:r>
          </w:p>
          <w:p w:rsidR="00000000" w:rsidDel="00000000" w:rsidP="00000000" w:rsidRDefault="00000000" w:rsidRPr="00000000" w14:paraId="000000AC">
            <w:pPr>
              <w:widowControl w:val="0"/>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ACUE package is decided</w:t>
            </w:r>
          </w:p>
          <w:p w:rsidR="00000000" w:rsidDel="00000000" w:rsidP="00000000" w:rsidRDefault="00000000" w:rsidRPr="00000000" w14:paraId="000000AD">
            <w:pPr>
              <w:widowControl w:val="0"/>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ATD team is determined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CETL director is made full-time</w:t>
            </w:r>
          </w:p>
          <w:p w:rsidR="00000000" w:rsidDel="00000000" w:rsidP="00000000" w:rsidRDefault="00000000" w:rsidRPr="00000000" w14:paraId="000000B0">
            <w:pPr>
              <w:widowControl w:val="0"/>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Members of Advisory Board are given bespoke duties for specific projects</w:t>
            </w:r>
          </w:p>
          <w:p w:rsidR="00000000" w:rsidDel="00000000" w:rsidP="00000000" w:rsidRDefault="00000000" w:rsidRPr="00000000" w14:paraId="000000B1">
            <w:pPr>
              <w:widowControl w:val="0"/>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ACUE Alliance participation launches</w:t>
            </w:r>
          </w:p>
          <w:p w:rsidR="00000000" w:rsidDel="00000000" w:rsidP="00000000" w:rsidRDefault="00000000" w:rsidRPr="00000000" w14:paraId="000000B2">
            <w:pPr>
              <w:widowControl w:val="0"/>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Bi-weekly meetings commence for CETL team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Faculty Academy development begins</w:t>
            </w:r>
          </w:p>
          <w:p w:rsidR="00000000" w:rsidDel="00000000" w:rsidP="00000000" w:rsidRDefault="00000000" w:rsidRPr="00000000" w14:paraId="000000B5">
            <w:pPr>
              <w:widowControl w:val="0"/>
              <w:numPr>
                <w:ilvl w:val="0"/>
                <w:numId w:val="1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Session: Wellness Friday</w:t>
            </w:r>
          </w:p>
          <w:p w:rsidR="00000000" w:rsidDel="00000000" w:rsidP="00000000" w:rsidRDefault="00000000" w:rsidRPr="00000000" w14:paraId="000000B6">
            <w:pPr>
              <w:widowControl w:val="0"/>
              <w:numPr>
                <w:ilvl w:val="0"/>
                <w:numId w:val="1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Session: Designing Engaging Online Courses</w:t>
            </w:r>
          </w:p>
          <w:p w:rsidR="00000000" w:rsidDel="00000000" w:rsidP="00000000" w:rsidRDefault="00000000" w:rsidRPr="00000000" w14:paraId="000000B7">
            <w:pPr>
              <w:widowControl w:val="0"/>
              <w:numPr>
                <w:ilvl w:val="0"/>
                <w:numId w:val="1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Online quality assurance planning begins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Demystifying Presenting and Publishing</w:t>
            </w:r>
          </w:p>
          <w:p w:rsidR="00000000" w:rsidDel="00000000" w:rsidP="00000000" w:rsidRDefault="00000000" w:rsidRPr="00000000" w14:paraId="000000BA">
            <w:pPr>
              <w:widowControl w:val="0"/>
              <w:numPr>
                <w:ilvl w:val="0"/>
                <w:numId w:val="1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Session: Wellness Friday</w:t>
            </w:r>
          </w:p>
          <w:p w:rsidR="00000000" w:rsidDel="00000000" w:rsidP="00000000" w:rsidRDefault="00000000" w:rsidRPr="00000000" w14:paraId="000000BB">
            <w:pPr>
              <w:widowControl w:val="0"/>
              <w:numPr>
                <w:ilvl w:val="0"/>
                <w:numId w:val="1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Session: General Education Alignment Maps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April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All Things ACUE</w:t>
            </w:r>
          </w:p>
          <w:p w:rsidR="00000000" w:rsidDel="00000000" w:rsidP="00000000" w:rsidRDefault="00000000" w:rsidRPr="00000000" w14:paraId="000000BE">
            <w:pPr>
              <w:widowControl w:val="0"/>
              <w:numPr>
                <w:ilvl w:val="0"/>
                <w:numId w:val="10"/>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Session: Wellness Friday</w:t>
            </w:r>
          </w:p>
          <w:p w:rsidR="00000000" w:rsidDel="00000000" w:rsidP="00000000" w:rsidRDefault="00000000" w:rsidRPr="00000000" w14:paraId="000000BF">
            <w:pPr>
              <w:widowControl w:val="0"/>
              <w:numPr>
                <w:ilvl w:val="0"/>
                <w:numId w:val="10"/>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Session: Adjuncts and Assessment</w:t>
            </w:r>
          </w:p>
          <w:p w:rsidR="00000000" w:rsidDel="00000000" w:rsidP="00000000" w:rsidRDefault="00000000" w:rsidRPr="00000000" w14:paraId="000000C0">
            <w:pPr>
              <w:widowControl w:val="0"/>
              <w:numPr>
                <w:ilvl w:val="0"/>
                <w:numId w:val="10"/>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Adjunct professional development survey is launched</w:t>
            </w:r>
          </w:p>
          <w:p w:rsidR="00000000" w:rsidDel="00000000" w:rsidP="00000000" w:rsidRDefault="00000000" w:rsidRPr="00000000" w14:paraId="000000C1">
            <w:pPr>
              <w:widowControl w:val="0"/>
              <w:numPr>
                <w:ilvl w:val="0"/>
                <w:numId w:val="10"/>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Call for proposals for August In-Service is launched</w:t>
            </w:r>
          </w:p>
          <w:p w:rsidR="00000000" w:rsidDel="00000000" w:rsidP="00000000" w:rsidRDefault="00000000" w:rsidRPr="00000000" w14:paraId="000000C2">
            <w:pPr>
              <w:widowControl w:val="0"/>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BCAP for ACUE is composed</w:t>
            </w:r>
          </w:p>
          <w:p w:rsidR="00000000" w:rsidDel="00000000" w:rsidP="00000000" w:rsidRDefault="00000000" w:rsidRPr="00000000" w14:paraId="000000C3">
            <w:pPr>
              <w:widowControl w:val="0"/>
              <w:numPr>
                <w:ilvl w:val="0"/>
                <w:numId w:val="10"/>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NFA is shared with all faculty</w:t>
            </w:r>
          </w:p>
          <w:p w:rsidR="00000000" w:rsidDel="00000000" w:rsidP="00000000" w:rsidRDefault="00000000" w:rsidRPr="00000000" w14:paraId="000000C4">
            <w:pPr>
              <w:widowControl w:val="0"/>
              <w:numPr>
                <w:ilvl w:val="0"/>
                <w:numId w:val="10"/>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First draft of annual report is written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Annual report is submitted</w:t>
            </w:r>
          </w:p>
          <w:p w:rsidR="00000000" w:rsidDel="00000000" w:rsidP="00000000" w:rsidRDefault="00000000" w:rsidRPr="00000000" w14:paraId="000000C7">
            <w:pPr>
              <w:widowControl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Rollout plans are finalized</w:t>
            </w:r>
          </w:p>
          <w:p w:rsidR="00000000" w:rsidDel="00000000" w:rsidP="00000000" w:rsidRDefault="00000000" w:rsidRPr="00000000" w14:paraId="000000C8">
            <w:pPr>
              <w:widowControl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Planning for Summer Symposium is finalized</w:t>
            </w:r>
          </w:p>
        </w:tc>
      </w:tr>
    </w:tbl>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pStyle w:val="Heading1"/>
        <w:rPr/>
      </w:pPr>
      <w:bookmarkStart w:colFirst="0" w:colLast="0" w:name="_a8rzraiz13zx" w:id="25"/>
      <w:bookmarkEnd w:id="25"/>
      <w:r w:rsidDel="00000000" w:rsidR="00000000" w:rsidRPr="00000000">
        <w:rPr>
          <w:rtl w:val="0"/>
        </w:rPr>
        <w:t xml:space="preserve">Assessment Materials</w:t>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collaboration with the Assessment Committee, the CETL developed its own assessment matrix, which is available in appendix L. It is modeled after the matrix developed by the University of Michigan’s Center for Research on Learning and Teaching (CRLT). </w:t>
      </w: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pStyle w:val="Heading1"/>
        <w:rPr/>
      </w:pPr>
      <w:bookmarkStart w:colFirst="0" w:colLast="0" w:name="_mdo0o9ctwh88" w:id="26"/>
      <w:bookmarkEnd w:id="26"/>
      <w:r w:rsidDel="00000000" w:rsidR="00000000" w:rsidRPr="00000000">
        <w:rPr>
          <w:rtl w:val="0"/>
        </w:rPr>
        <w:t xml:space="preserve">Appendix</w:t>
      </w:r>
    </w:p>
    <w:p w:rsidR="00000000" w:rsidDel="00000000" w:rsidP="00000000" w:rsidRDefault="00000000" w:rsidRPr="00000000" w14:paraId="000000CF">
      <w:pPr>
        <w:numPr>
          <w:ilvl w:val="0"/>
          <w:numId w:val="12"/>
        </w:numPr>
        <w:ind w:left="720" w:hanging="360"/>
        <w:rPr>
          <w:rFonts w:ascii="Times New Roman" w:cs="Times New Roman" w:eastAsia="Times New Roman" w:hAnsi="Times New Roman"/>
          <w:sz w:val="24"/>
          <w:szCs w:val="24"/>
          <w:u w:val="none"/>
        </w:rPr>
      </w:pPr>
      <w:hyperlink r:id="rId7">
        <w:r w:rsidDel="00000000" w:rsidR="00000000" w:rsidRPr="00000000">
          <w:rPr>
            <w:rFonts w:ascii="Times New Roman" w:cs="Times New Roman" w:eastAsia="Times New Roman" w:hAnsi="Times New Roman"/>
            <w:color w:val="1155cc"/>
            <w:sz w:val="24"/>
            <w:szCs w:val="24"/>
            <w:u w:val="single"/>
            <w:rtl w:val="0"/>
          </w:rPr>
          <w:t xml:space="preserve">Center for Excellence in Teaching and Learning Strategic Plan</w:t>
        </w:r>
      </w:hyperlink>
      <w:r w:rsidDel="00000000" w:rsidR="00000000" w:rsidRPr="00000000">
        <w:rPr>
          <w:rtl w:val="0"/>
        </w:rPr>
      </w:r>
    </w:p>
    <w:p w:rsidR="00000000" w:rsidDel="00000000" w:rsidP="00000000" w:rsidRDefault="00000000" w:rsidRPr="00000000" w14:paraId="000000D0">
      <w:pPr>
        <w:numPr>
          <w:ilvl w:val="0"/>
          <w:numId w:val="12"/>
        </w:numPr>
        <w:ind w:left="720" w:hanging="360"/>
        <w:rPr>
          <w:rFonts w:ascii="Times New Roman" w:cs="Times New Roman" w:eastAsia="Times New Roman" w:hAnsi="Times New Roman"/>
          <w:sz w:val="24"/>
          <w:szCs w:val="24"/>
          <w:u w:val="none"/>
        </w:rPr>
      </w:pPr>
      <w:hyperlink r:id="rId8">
        <w:r w:rsidDel="00000000" w:rsidR="00000000" w:rsidRPr="00000000">
          <w:rPr>
            <w:rFonts w:ascii="Times New Roman" w:cs="Times New Roman" w:eastAsia="Times New Roman" w:hAnsi="Times New Roman"/>
            <w:color w:val="1155cc"/>
            <w:sz w:val="24"/>
            <w:szCs w:val="24"/>
            <w:u w:val="single"/>
            <w:rtl w:val="0"/>
          </w:rPr>
          <w:t xml:space="preserve">CETL Rollout Plans (Compiled)</w:t>
        </w:r>
      </w:hyperlink>
      <w:r w:rsidDel="00000000" w:rsidR="00000000" w:rsidRPr="00000000">
        <w:rPr>
          <w:rtl w:val="0"/>
        </w:rPr>
      </w:r>
    </w:p>
    <w:p w:rsidR="00000000" w:rsidDel="00000000" w:rsidP="00000000" w:rsidRDefault="00000000" w:rsidRPr="00000000" w14:paraId="000000D1">
      <w:pPr>
        <w:numPr>
          <w:ilvl w:val="0"/>
          <w:numId w:val="12"/>
        </w:numPr>
        <w:ind w:left="720" w:hanging="360"/>
        <w:rPr>
          <w:rFonts w:ascii="Times New Roman" w:cs="Times New Roman" w:eastAsia="Times New Roman" w:hAnsi="Times New Roman"/>
          <w:sz w:val="24"/>
          <w:szCs w:val="24"/>
          <w:u w:val="none"/>
        </w:rPr>
      </w:pPr>
      <w:hyperlink r:id="rId9">
        <w:r w:rsidDel="00000000" w:rsidR="00000000" w:rsidRPr="00000000">
          <w:rPr>
            <w:rFonts w:ascii="Times New Roman" w:cs="Times New Roman" w:eastAsia="Times New Roman" w:hAnsi="Times New Roman"/>
            <w:color w:val="1155cc"/>
            <w:sz w:val="24"/>
            <w:szCs w:val="24"/>
            <w:u w:val="single"/>
            <w:rtl w:val="0"/>
          </w:rPr>
          <w:t xml:space="preserve">ACUE Participation Survey</w:t>
        </w:r>
      </w:hyperlink>
      <w:r w:rsidDel="00000000" w:rsidR="00000000" w:rsidRPr="00000000">
        <w:rPr>
          <w:rtl w:val="0"/>
        </w:rPr>
      </w:r>
    </w:p>
    <w:p w:rsidR="00000000" w:rsidDel="00000000" w:rsidP="00000000" w:rsidRDefault="00000000" w:rsidRPr="00000000" w14:paraId="000000D2">
      <w:pPr>
        <w:numPr>
          <w:ilvl w:val="0"/>
          <w:numId w:val="12"/>
        </w:numPr>
        <w:ind w:left="720" w:hanging="360"/>
        <w:rPr>
          <w:rFonts w:ascii="Times New Roman" w:cs="Times New Roman" w:eastAsia="Times New Roman" w:hAnsi="Times New Roman"/>
          <w:sz w:val="24"/>
          <w:szCs w:val="24"/>
          <w:u w:val="none"/>
        </w:rPr>
      </w:pPr>
      <w:hyperlink r:id="rId10">
        <w:r w:rsidDel="00000000" w:rsidR="00000000" w:rsidRPr="00000000">
          <w:rPr>
            <w:rFonts w:ascii="Times New Roman" w:cs="Times New Roman" w:eastAsia="Times New Roman" w:hAnsi="Times New Roman"/>
            <w:color w:val="1155cc"/>
            <w:sz w:val="24"/>
            <w:szCs w:val="24"/>
            <w:u w:val="single"/>
            <w:rtl w:val="0"/>
          </w:rPr>
          <w:t xml:space="preserve">Achieving the Dream: Conference Notes</w:t>
        </w:r>
      </w:hyperlink>
      <w:r w:rsidDel="00000000" w:rsidR="00000000" w:rsidRPr="00000000">
        <w:rPr>
          <w:rtl w:val="0"/>
        </w:rPr>
      </w:r>
    </w:p>
    <w:p w:rsidR="00000000" w:rsidDel="00000000" w:rsidP="00000000" w:rsidRDefault="00000000" w:rsidRPr="00000000" w14:paraId="000000D3">
      <w:pPr>
        <w:numPr>
          <w:ilvl w:val="0"/>
          <w:numId w:val="12"/>
        </w:numPr>
        <w:ind w:left="720" w:hanging="360"/>
        <w:rPr>
          <w:rFonts w:ascii="Times New Roman" w:cs="Times New Roman" w:eastAsia="Times New Roman" w:hAnsi="Times New Roman"/>
          <w:sz w:val="24"/>
          <w:szCs w:val="24"/>
          <w:u w:val="none"/>
        </w:rPr>
      </w:pPr>
      <w:hyperlink r:id="rId11">
        <w:r w:rsidDel="00000000" w:rsidR="00000000" w:rsidRPr="00000000">
          <w:rPr>
            <w:rFonts w:ascii="Times New Roman" w:cs="Times New Roman" w:eastAsia="Times New Roman" w:hAnsi="Times New Roman"/>
            <w:color w:val="1155cc"/>
            <w:sz w:val="24"/>
            <w:szCs w:val="24"/>
            <w:u w:val="single"/>
            <w:rtl w:val="0"/>
          </w:rPr>
          <w:t xml:space="preserve">Achieving the Dream: Building Capacity Action Plan</w:t>
        </w:r>
      </w:hyperlink>
      <w:r w:rsidDel="00000000" w:rsidR="00000000" w:rsidRPr="00000000">
        <w:rPr>
          <w:rtl w:val="0"/>
        </w:rPr>
      </w:r>
    </w:p>
    <w:p w:rsidR="00000000" w:rsidDel="00000000" w:rsidP="00000000" w:rsidRDefault="00000000" w:rsidRPr="00000000" w14:paraId="000000D4">
      <w:pPr>
        <w:numPr>
          <w:ilvl w:val="0"/>
          <w:numId w:val="12"/>
        </w:numPr>
        <w:ind w:left="720" w:hanging="360"/>
        <w:rPr>
          <w:rFonts w:ascii="Times New Roman" w:cs="Times New Roman" w:eastAsia="Times New Roman" w:hAnsi="Times New Roman"/>
          <w:sz w:val="24"/>
          <w:szCs w:val="24"/>
          <w:u w:val="none"/>
        </w:rPr>
      </w:pPr>
      <w:hyperlink r:id="rId12">
        <w:r w:rsidDel="00000000" w:rsidR="00000000" w:rsidRPr="00000000">
          <w:rPr>
            <w:rFonts w:ascii="Times New Roman" w:cs="Times New Roman" w:eastAsia="Times New Roman" w:hAnsi="Times New Roman"/>
            <w:color w:val="1155cc"/>
            <w:sz w:val="24"/>
            <w:szCs w:val="24"/>
            <w:u w:val="single"/>
            <w:rtl w:val="0"/>
          </w:rPr>
          <w:t xml:space="preserve">New Faculty Academy: Syllabus </w:t>
        </w:r>
      </w:hyperlink>
      <w:r w:rsidDel="00000000" w:rsidR="00000000" w:rsidRPr="00000000">
        <w:rPr>
          <w:rtl w:val="0"/>
        </w:rPr>
      </w:r>
    </w:p>
    <w:p w:rsidR="00000000" w:rsidDel="00000000" w:rsidP="00000000" w:rsidRDefault="00000000" w:rsidRPr="00000000" w14:paraId="000000D5">
      <w:pPr>
        <w:numPr>
          <w:ilvl w:val="0"/>
          <w:numId w:val="12"/>
        </w:numPr>
        <w:ind w:left="720" w:hanging="360"/>
        <w:rPr>
          <w:rFonts w:ascii="Times New Roman" w:cs="Times New Roman" w:eastAsia="Times New Roman" w:hAnsi="Times New Roman"/>
          <w:sz w:val="24"/>
          <w:szCs w:val="24"/>
          <w:u w:val="none"/>
        </w:rPr>
      </w:pPr>
      <w:hyperlink r:id="rId13">
        <w:r w:rsidDel="00000000" w:rsidR="00000000" w:rsidRPr="00000000">
          <w:rPr>
            <w:rFonts w:ascii="Times New Roman" w:cs="Times New Roman" w:eastAsia="Times New Roman" w:hAnsi="Times New Roman"/>
            <w:color w:val="1155cc"/>
            <w:sz w:val="24"/>
            <w:szCs w:val="24"/>
            <w:u w:val="single"/>
            <w:rtl w:val="0"/>
          </w:rPr>
          <w:t xml:space="preserve">New Faculty Academy: New Faculty Survey</w:t>
        </w:r>
      </w:hyperlink>
      <w:r w:rsidDel="00000000" w:rsidR="00000000" w:rsidRPr="00000000">
        <w:rPr>
          <w:rtl w:val="0"/>
        </w:rPr>
      </w:r>
    </w:p>
    <w:p w:rsidR="00000000" w:rsidDel="00000000" w:rsidP="00000000" w:rsidRDefault="00000000" w:rsidRPr="00000000" w14:paraId="000000D6">
      <w:pPr>
        <w:numPr>
          <w:ilvl w:val="0"/>
          <w:numId w:val="12"/>
        </w:numPr>
        <w:ind w:left="720" w:hanging="360"/>
        <w:rPr>
          <w:rFonts w:ascii="Times New Roman" w:cs="Times New Roman" w:eastAsia="Times New Roman" w:hAnsi="Times New Roman"/>
          <w:sz w:val="24"/>
          <w:szCs w:val="24"/>
          <w:u w:val="none"/>
        </w:rPr>
      </w:pPr>
      <w:hyperlink r:id="rId14">
        <w:r w:rsidDel="00000000" w:rsidR="00000000" w:rsidRPr="00000000">
          <w:rPr>
            <w:rFonts w:ascii="Times New Roman" w:cs="Times New Roman" w:eastAsia="Times New Roman" w:hAnsi="Times New Roman"/>
            <w:color w:val="1155cc"/>
            <w:sz w:val="24"/>
            <w:szCs w:val="24"/>
            <w:u w:val="single"/>
            <w:rtl w:val="0"/>
          </w:rPr>
          <w:t xml:space="preserve">Summer Symposium Schedule</w:t>
        </w:r>
      </w:hyperlink>
      <w:r w:rsidDel="00000000" w:rsidR="00000000" w:rsidRPr="00000000">
        <w:rPr>
          <w:rtl w:val="0"/>
        </w:rPr>
      </w:r>
    </w:p>
    <w:p w:rsidR="00000000" w:rsidDel="00000000" w:rsidP="00000000" w:rsidRDefault="00000000" w:rsidRPr="00000000" w14:paraId="000000D7">
      <w:pPr>
        <w:numPr>
          <w:ilvl w:val="0"/>
          <w:numId w:val="12"/>
        </w:numPr>
        <w:ind w:left="720" w:hanging="360"/>
        <w:rPr>
          <w:rFonts w:ascii="Times New Roman" w:cs="Times New Roman" w:eastAsia="Times New Roman" w:hAnsi="Times New Roman"/>
          <w:sz w:val="24"/>
          <w:szCs w:val="24"/>
          <w:u w:val="none"/>
        </w:rPr>
      </w:pPr>
      <w:hyperlink r:id="rId15">
        <w:r w:rsidDel="00000000" w:rsidR="00000000" w:rsidRPr="00000000">
          <w:rPr>
            <w:rFonts w:ascii="Times New Roman" w:cs="Times New Roman" w:eastAsia="Times New Roman" w:hAnsi="Times New Roman"/>
            <w:color w:val="1155cc"/>
            <w:sz w:val="24"/>
            <w:szCs w:val="24"/>
            <w:u w:val="single"/>
            <w:rtl w:val="0"/>
          </w:rPr>
          <w:t xml:space="preserve">New Faculty Orientation Schedule</w:t>
        </w:r>
      </w:hyperlink>
      <w:r w:rsidDel="00000000" w:rsidR="00000000" w:rsidRPr="00000000">
        <w:rPr>
          <w:rtl w:val="0"/>
        </w:rPr>
      </w:r>
    </w:p>
    <w:p w:rsidR="00000000" w:rsidDel="00000000" w:rsidP="00000000" w:rsidRDefault="00000000" w:rsidRPr="00000000" w14:paraId="000000D8">
      <w:pPr>
        <w:numPr>
          <w:ilvl w:val="0"/>
          <w:numId w:val="12"/>
        </w:numPr>
        <w:ind w:left="720" w:hanging="360"/>
        <w:rPr>
          <w:rFonts w:ascii="Times New Roman" w:cs="Times New Roman" w:eastAsia="Times New Roman" w:hAnsi="Times New Roman"/>
          <w:sz w:val="24"/>
          <w:szCs w:val="24"/>
          <w:u w:val="none"/>
        </w:rPr>
      </w:pPr>
      <w:hyperlink r:id="rId16">
        <w:r w:rsidDel="00000000" w:rsidR="00000000" w:rsidRPr="00000000">
          <w:rPr>
            <w:rFonts w:ascii="Times New Roman" w:cs="Times New Roman" w:eastAsia="Times New Roman" w:hAnsi="Times New Roman"/>
            <w:color w:val="1155cc"/>
            <w:sz w:val="24"/>
            <w:szCs w:val="24"/>
            <w:u w:val="single"/>
            <w:rtl w:val="0"/>
          </w:rPr>
          <w:t xml:space="preserve">Adjunct Faculty Orientation Schedule</w:t>
        </w:r>
      </w:hyperlink>
      <w:r w:rsidDel="00000000" w:rsidR="00000000" w:rsidRPr="00000000">
        <w:rPr>
          <w:rtl w:val="0"/>
        </w:rPr>
      </w:r>
    </w:p>
    <w:p w:rsidR="00000000" w:rsidDel="00000000" w:rsidP="00000000" w:rsidRDefault="00000000" w:rsidRPr="00000000" w14:paraId="000000D9">
      <w:pPr>
        <w:numPr>
          <w:ilvl w:val="0"/>
          <w:numId w:val="12"/>
        </w:numPr>
        <w:ind w:left="720" w:hanging="360"/>
        <w:rPr>
          <w:rFonts w:ascii="Times New Roman" w:cs="Times New Roman" w:eastAsia="Times New Roman" w:hAnsi="Times New Roman"/>
          <w:sz w:val="24"/>
          <w:szCs w:val="24"/>
          <w:u w:val="none"/>
        </w:rPr>
      </w:pPr>
      <w:hyperlink r:id="rId17">
        <w:r w:rsidDel="00000000" w:rsidR="00000000" w:rsidRPr="00000000">
          <w:rPr>
            <w:rFonts w:ascii="Times New Roman" w:cs="Times New Roman" w:eastAsia="Times New Roman" w:hAnsi="Times New Roman"/>
            <w:color w:val="1155cc"/>
            <w:sz w:val="24"/>
            <w:szCs w:val="24"/>
            <w:u w:val="single"/>
            <w:rtl w:val="0"/>
          </w:rPr>
          <w:t xml:space="preserve">Fall 2026 In-Service: Call for Proposals</w:t>
        </w:r>
      </w:hyperlink>
      <w:r w:rsidDel="00000000" w:rsidR="00000000" w:rsidRPr="00000000">
        <w:rPr>
          <w:rtl w:val="0"/>
        </w:rPr>
      </w:r>
    </w:p>
    <w:p w:rsidR="00000000" w:rsidDel="00000000" w:rsidP="00000000" w:rsidRDefault="00000000" w:rsidRPr="00000000" w14:paraId="000000DA">
      <w:pPr>
        <w:numPr>
          <w:ilvl w:val="0"/>
          <w:numId w:val="12"/>
        </w:numPr>
        <w:ind w:left="720" w:hanging="360"/>
        <w:rPr>
          <w:rFonts w:ascii="Times New Roman" w:cs="Times New Roman" w:eastAsia="Times New Roman" w:hAnsi="Times New Roman"/>
          <w:sz w:val="24"/>
          <w:szCs w:val="24"/>
          <w:u w:val="none"/>
        </w:rPr>
      </w:pPr>
      <w:hyperlink r:id="rId18">
        <w:r w:rsidDel="00000000" w:rsidR="00000000" w:rsidRPr="00000000">
          <w:rPr>
            <w:rFonts w:ascii="Times New Roman" w:cs="Times New Roman" w:eastAsia="Times New Roman" w:hAnsi="Times New Roman"/>
            <w:color w:val="1155cc"/>
            <w:sz w:val="24"/>
            <w:szCs w:val="24"/>
            <w:u w:val="single"/>
            <w:rtl w:val="0"/>
          </w:rPr>
          <w:t xml:space="preserve">CETL Assessment Matrix</w:t>
        </w:r>
      </w:hyperlink>
      <w:r w:rsidDel="00000000" w:rsidR="00000000" w:rsidRPr="00000000">
        <w:rPr>
          <w:rtl w:val="0"/>
        </w:rPr>
      </w:r>
    </w:p>
    <w:p w:rsidR="00000000" w:rsidDel="00000000" w:rsidP="00000000" w:rsidRDefault="00000000" w:rsidRPr="00000000" w14:paraId="000000DB">
      <w:pPr>
        <w:numPr>
          <w:ilvl w:val="0"/>
          <w:numId w:val="12"/>
        </w:numPr>
        <w:ind w:left="720" w:hanging="360"/>
        <w:rPr>
          <w:rFonts w:ascii="Times New Roman" w:cs="Times New Roman" w:eastAsia="Times New Roman" w:hAnsi="Times New Roman"/>
          <w:sz w:val="24"/>
          <w:szCs w:val="24"/>
          <w:u w:val="none"/>
        </w:rPr>
      </w:pPr>
      <w:hyperlink r:id="rId19">
        <w:r w:rsidDel="00000000" w:rsidR="00000000" w:rsidRPr="00000000">
          <w:rPr>
            <w:rFonts w:ascii="Times New Roman" w:cs="Times New Roman" w:eastAsia="Times New Roman" w:hAnsi="Times New Roman"/>
            <w:color w:val="1155cc"/>
            <w:sz w:val="24"/>
            <w:szCs w:val="24"/>
            <w:u w:val="single"/>
            <w:rtl w:val="0"/>
          </w:rPr>
          <w:t xml:space="preserve">Adjunct Survey</w:t>
        </w:r>
      </w:hyperlink>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pPr>
    <w:rPr>
      <w:rFonts w:ascii="Times New Roman" w:cs="Times New Roman" w:eastAsia="Times New Roman" w:hAnsi="Times New Roman"/>
      <w:i w:val="1"/>
      <w:i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Times New Roman" w:cs="Times New Roman" w:eastAsia="Times New Roman" w:hAnsi="Times New Roman"/>
      <w:b w:val="1"/>
      <w:bCs w:val="1"/>
      <w:color w:val="156082"/>
      <w:sz w:val="26"/>
      <w:szCs w:val="2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yv6sFFSsrphl01weddl8aY8P8wJKzJlhahrkhLwZscM/edit?usp=sharing" TargetMode="External"/><Relationship Id="rId10" Type="http://schemas.openxmlformats.org/officeDocument/2006/relationships/hyperlink" Target="https://docs.google.com/document/d/10_Oi2XhUlDaaPF8m4fyb0eLdCD3yXtv8m7gnVT3J-1w/edit?usp=sharing" TargetMode="External"/><Relationship Id="rId13" Type="http://schemas.openxmlformats.org/officeDocument/2006/relationships/hyperlink" Target="https://forms.cloud.microsoft/Pages/ResponsePage.aspx?id=Ny2dtn1HG0ewcernxnJKZmjH-0WrxvxKtsSIZgsR1a5UNjg1SFI4VkpSWTRLOU1TQzU4Q0NEWk1PVi4u" TargetMode="External"/><Relationship Id="rId12" Type="http://schemas.openxmlformats.org/officeDocument/2006/relationships/hyperlink" Target="https://docs.google.com/document/d/1PQITkqtxj5-NEcFfy-A1NI6BMW0-8YW6/edit?usp=sharing&amp;ouid=103374162439915662899&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cloud.microsoft/Pages/ResponsePage.aspx?id=Ny2dtn1HG0ewcernxnJKZmjH-0WrxvxKtsSIZgsR1a5UQTFIQjFXN0FLV1BPRENYNFNJQTFHR1JJMy4u" TargetMode="External"/><Relationship Id="rId15" Type="http://schemas.openxmlformats.org/officeDocument/2006/relationships/hyperlink" Target="https://docs.google.com/document/d/1b7HFOgyPdHkX37ubZ8DrIwDEz6mQQq2MTW8zzm-4bdw/edit?usp=sharing" TargetMode="External"/><Relationship Id="rId14" Type="http://schemas.openxmlformats.org/officeDocument/2006/relationships/hyperlink" Target="https://docs.google.com/document/d/1GDtjDjmuqBir31dlGjUwYXlVgkqZqCV_iv4j3NA1IqI/edit?usp=sharing" TargetMode="External"/><Relationship Id="rId17" Type="http://schemas.openxmlformats.org/officeDocument/2006/relationships/hyperlink" Target="https://forms.cloud.microsoft/Pages/ResponsePage.aspx?id=Ny2dtn1HG0ewcernxnJKZmjH-0WrxvxKtsSIZgsR1a5UNllENERQU1ZBWVBDMThBS1cwSVRSMklaUy4u" TargetMode="External"/><Relationship Id="rId16" Type="http://schemas.openxmlformats.org/officeDocument/2006/relationships/hyperlink" Target="https://docs.google.com/document/d/1RuQ-fwvPzUeWVIg-Zl0tEZTlSQ-Lv1thNw3IoiJtlaM/edit?usp=sharing" TargetMode="External"/><Relationship Id="rId5" Type="http://schemas.openxmlformats.org/officeDocument/2006/relationships/styles" Target="styles.xml"/><Relationship Id="rId19" Type="http://schemas.openxmlformats.org/officeDocument/2006/relationships/hyperlink" Target="https://forms.office.com/Pages/ResponsePage.aspx?id=Ny2dtn1HG0ewcernxnJKZgtbCfhdZo1IgzGigqMNz6RUMkJTVUFMMklPUVgyVUFSVDBQUkYzVTVTNS4u" TargetMode="External"/><Relationship Id="rId6" Type="http://schemas.openxmlformats.org/officeDocument/2006/relationships/image" Target="media/image1.png"/><Relationship Id="rId18" Type="http://schemas.openxmlformats.org/officeDocument/2006/relationships/hyperlink" Target="https://docs.google.com/document/d/1wVwvo9mmij1dD1vKka_G08n_9LJqp_tMuLNvSDZHQ3E/edit?usp=sharing" TargetMode="External"/><Relationship Id="rId7" Type="http://schemas.openxmlformats.org/officeDocument/2006/relationships/hyperlink" Target="https://docs.google.com/document/d/1E35SVQtmIvA9YoaRVQVERTuQyOSjY9LVz_X0zCSzaaw/edit?usp=sharing" TargetMode="External"/><Relationship Id="rId8" Type="http://schemas.openxmlformats.org/officeDocument/2006/relationships/hyperlink" Target="https://docs.google.com/document/d/1iRDtpNNNNBEQZG1mXd9BmXushYqx0_hY2WpPq2NH5HI/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