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color w:val="156082"/>
          <w:sz w:val="30"/>
          <w:szCs w:val="30"/>
        </w:rPr>
      </w:pPr>
      <w:r w:rsidDel="00000000" w:rsidR="00000000" w:rsidRPr="00000000">
        <w:rPr>
          <w:rFonts w:ascii="Times New Roman" w:cs="Times New Roman" w:eastAsia="Times New Roman" w:hAnsi="Times New Roman"/>
          <w:b w:val="1"/>
          <w:bCs w:val="1"/>
          <w:color w:val="156082"/>
          <w:sz w:val="30"/>
          <w:szCs w:val="30"/>
        </w:rPr>
        <w:drawing>
          <wp:inline distB="114300" distT="114300" distL="114300" distR="114300">
            <wp:extent cx="5943600" cy="9652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965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bCs w:val="1"/>
          <w:color w:val="156082"/>
          <w:sz w:val="26"/>
          <w:szCs w:val="26"/>
        </w:rPr>
      </w:pPr>
      <w:r w:rsidDel="00000000" w:rsidR="00000000" w:rsidRPr="00000000">
        <w:rPr>
          <w:rFonts w:ascii="Times New Roman" w:cs="Times New Roman" w:eastAsia="Times New Roman" w:hAnsi="Times New Roman"/>
          <w:b w:val="1"/>
          <w:bCs w:val="1"/>
          <w:color w:val="156082"/>
          <w:sz w:val="26"/>
          <w:szCs w:val="26"/>
          <w:rtl w:val="0"/>
        </w:rPr>
        <w:t xml:space="preserve">Center for Excellence in Teaching and Learning Annual Report</w:t>
      </w:r>
    </w:p>
    <w:p w:rsidR="00000000" w:rsidDel="00000000" w:rsidP="00000000" w:rsidRDefault="00000000" w:rsidRPr="00000000" w14:paraId="00000003">
      <w:pPr>
        <w:jc w:val="center"/>
        <w:rPr>
          <w:rFonts w:ascii="Times New Roman" w:cs="Times New Roman" w:eastAsia="Times New Roman" w:hAnsi="Times New Roman"/>
          <w:b w:val="1"/>
          <w:bCs w:val="1"/>
          <w:color w:val="156082"/>
          <w:sz w:val="26"/>
          <w:szCs w:val="26"/>
        </w:rPr>
      </w:pPr>
      <w:r w:rsidDel="00000000" w:rsidR="00000000" w:rsidRPr="00000000">
        <w:rPr>
          <w:rFonts w:ascii="Times New Roman" w:cs="Times New Roman" w:eastAsia="Times New Roman" w:hAnsi="Times New Roman"/>
          <w:b w:val="1"/>
          <w:bCs w:val="1"/>
          <w:color w:val="156082"/>
          <w:sz w:val="26"/>
          <w:szCs w:val="26"/>
          <w:rtl w:val="0"/>
        </w:rPr>
        <w:t xml:space="preserve">Academic Year: 2024-2025</w:t>
      </w:r>
    </w:p>
    <w:p w:rsidR="00000000" w:rsidDel="00000000" w:rsidP="00000000" w:rsidRDefault="00000000" w:rsidRPr="00000000" w14:paraId="00000004">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Purpose</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document provides a comprehensive timeline of initiatives, deliverables, and adjustments made by the Center for Excellence in Teaching and Learning (CETL) for this academic year. The author of this document, the Director of the CETL, endeavors to be as detailed as possible, but additional information can be provided upon request. </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Strategic Plan Alignment</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summer of 2024, a steering committee for the Center for Excellence in Teaching and Learning was created. This team, comprised of Morgan Byrne (English), Josh Keck (Business), and Meagan Valentine (Biology), worked to create a Strategic Plan that mapped out the next four years of the CETL’s development, including resources, seminars, and recommendations for the evolution of the director and advisory board as positions at the college. A full version of the Strategic Plan is available in Appendix A.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report, the primary focus will be the goals established for Year One, which include: </w:t>
      </w:r>
    </w:p>
    <w:p w:rsidR="00000000" w:rsidDel="00000000" w:rsidP="00000000" w:rsidRDefault="00000000" w:rsidRPr="00000000" w14:paraId="0000000B">
      <w:pPr>
        <w:numPr>
          <w:ilvl w:val="0"/>
          <w:numId w:val="7"/>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Establish the CETL Leadership</w:t>
      </w:r>
    </w:p>
    <w:p w:rsidR="00000000" w:rsidDel="00000000" w:rsidP="00000000" w:rsidRDefault="00000000" w:rsidRPr="00000000" w14:paraId="0000000C">
      <w:pPr>
        <w:numPr>
          <w:ilvl w:val="0"/>
          <w:numId w:val="7"/>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Develop an Online Presence and Communication Plan</w:t>
      </w:r>
    </w:p>
    <w:p w:rsidR="00000000" w:rsidDel="00000000" w:rsidP="00000000" w:rsidRDefault="00000000" w:rsidRPr="00000000" w14:paraId="0000000D">
      <w:pPr>
        <w:numPr>
          <w:ilvl w:val="0"/>
          <w:numId w:val="7"/>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Launch Initial Course Design Workshops</w:t>
      </w:r>
    </w:p>
    <w:p w:rsidR="00000000" w:rsidDel="00000000" w:rsidP="00000000" w:rsidRDefault="00000000" w:rsidRPr="00000000" w14:paraId="0000000E">
      <w:pPr>
        <w:numPr>
          <w:ilvl w:val="0"/>
          <w:numId w:val="7"/>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Assist Chairs with New Faculty Orientation</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following sections, this report will break down the ways in which each goal was either met or exceeded. </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Establish the CETL Leadership</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August of 2024, Morgan Byrne (Assistant Professor of English) was identified as the part-time Director of the Center for Excellence in Teaching and Learning. She was and still is supported by an Advisory Board consisting of Josh Keck (Assistant Professor of Business Technology), Kristen McColgan (Assistant Professor of Early Childhood Education), Kelly Terry (Professor of Physical Therapy Assistance), and Hannah Matthews (Advisor). The specific roles and responsibilities for the Director and Advisory Board members can be found in the Operations Manual, which is available in Appendix B. </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general construction of the team permitted the Director to schedule meetings, provide agendas, facilitate discussions, and act as liaison between faculty and the administration. Advisory Board members provided input, proposed ideas, communicating with other faculty, and facilitated and promoted sessions hosted by the CETL. </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model was designed on a part-time basis to suit the then current request of the administration. Another goal was that the team members would serve three year terms before rotating off in favor of new members to encourage different perspectives, materials, etc. </w:t>
      </w: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Develop an Online Presence and Communication Plan</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primary forms of communication on campus is email, and as such, the CETL team began deploying monthly newsletters consistently. Faculty and staff also received regular communication and reminders about upcoming events. </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further facilitate this goal, a CETL webpage was developed, on which faculty could locate resources, the newsletter, upcoming conferences, and more. </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ensure that the team was working in the college’s best interest, the CETL developed a Campus Needs Survey to be deployed every fall semester. </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team also hosts at least one Listening Session each academic year to make sure communication remains transparent and accessible. </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Proposals pertaining to creating a social media presence for the CETL were submitted and denied.</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Launch Initial Course Design Workshops</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well ahead of schedule, the CETL began offering a session once a month as soon as it was created. These sessions have covered assessment, engagement, course design, and more. Additional information on workshops is available in the “Major Deliverables” section. </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Assist Chairs with New Faculty Orientation</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Director of the CETL presented a session on effective teaching, as well as CETL resources, during Fall 2024’s In-Service session for new faculty. She also provided each new faculty member with a folder including resources like the CETL’s physical library catalogue, Bloom’s Taxonomy, a crash course in assessment, and more. </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Major Deliverables</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deliverable was the Strategic Plan, which was presented at Fall 2024’s In-Service to faculty. A video recording of this presentation is available on the CETL’s webpage, which is available in Appendix C. This plan provided guidance and reasonable goals for the following four years. </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next major deliverable was the Operations Manual. It was completed in Spring 2025 after several rounds of drafting and feedback amongst the team members. The Operations Manual includes roles and responsibilities, recommendations and presentation materials for reproducible sessions, budgeting information, and more. </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major deliverable pertains to the workshops that were facilitated by the CETL. Despite it being a goal for Year Two of the Strategic Plan, the CETL offered at least one session each semester. During Fall 2024, the campus was largely focused on assessment in preparation for the upcoming Interim Report, so many of the CETL offerings were focused on this content area. Specifically, there were several sessions discussing the Course Assessment Report form, as well as the new assessment procedures and processes, all of which culminated in the Assessment Bootcamp. This was a two-day endeavor, created in partnership with the Assessment Committee (which was co-chaired by the CETL Director, as well), covering everything from assessment basics to reporting and analyzing data effectively. The Assessment Bootcamp materials can be found in Appendix D. </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Spring 2025, the focus shifted, and sessions were offered about student engagement and artificial intelligence. The latter was a panel style discussion featuring faculty and staff, and it was the best attended session of that semester. </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of these sessions was assessed in a survey, as well. Though more of this information is offered in its bespoke section, the creation of the session survey is yet another major deliverable.</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Minor Deliverables</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of the minor deliverables to be included is our monthly newsletter, an example of which can be found in Appendix E. These newsletters focused on promoting the CETL’s offerings, library, and general goings-on at the college. </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next minor deliverable pertains to another type of survey. In order to provide relevant sessions for faculty and staff, the team developed the Campus Needs Survey, which asks questions about what resources and content areas faculty and still would like to see on campus. The team has consistently used this survey to shape its output, and it can be found in Appendix F. </w:t>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team began participating in the construction of In-Service schedules, as well, looking to use additional Campus Needs Survey results to continue providing the necessary information requested by the college at large. </w:t>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the marketing team worked with the CETL team to select a logo, which is available in Appendix G. </w:t>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Plans for the Future</w:t>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Plans for the Fall 2025 - Spring 2026 semester are well underway. With a physical office marked for use, one of the goals is technically complete already, and the Director is working to make connections with other Directors at other institutions. The primary goals for the next academic year are as follows: </w:t>
      </w:r>
    </w:p>
    <w:p w:rsidR="00000000" w:rsidDel="00000000" w:rsidP="00000000" w:rsidRDefault="00000000" w:rsidRPr="00000000" w14:paraId="00000040">
      <w:pPr>
        <w:numPr>
          <w:ilvl w:val="0"/>
          <w:numId w:val="1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Secure Physical Space and Budget Planning</w:t>
      </w:r>
    </w:p>
    <w:p w:rsidR="00000000" w:rsidDel="00000000" w:rsidP="00000000" w:rsidRDefault="00000000" w:rsidRPr="00000000" w14:paraId="00000041">
      <w:pPr>
        <w:numPr>
          <w:ilvl w:val="0"/>
          <w:numId w:val="1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Expand CETL Staff and Programming</w:t>
      </w:r>
    </w:p>
    <w:p w:rsidR="00000000" w:rsidDel="00000000" w:rsidP="00000000" w:rsidRDefault="00000000" w:rsidRPr="00000000" w14:paraId="00000042">
      <w:pPr>
        <w:numPr>
          <w:ilvl w:val="0"/>
          <w:numId w:val="1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Develop Comprehensive Library</w:t>
      </w:r>
    </w:p>
    <w:p w:rsidR="00000000" w:rsidDel="00000000" w:rsidP="00000000" w:rsidRDefault="00000000" w:rsidRPr="00000000" w14:paraId="00000043">
      <w:pPr>
        <w:numPr>
          <w:ilvl w:val="0"/>
          <w:numId w:val="1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Expand Orientation Resources to Adjunct Faculty Orientation</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team would also like to consider long-term assessment measures, especially as they relate to long-form professional development. </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Comprehensive Timeline</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is a timeline covering July 2024 - May 2025.</w:t>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Month</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Major Developments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July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Steering Committee for the Center for Excellence in Teaching and Learning completes their proposed Strategic Plan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August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part-time Director and Advisory Board members are identified</w:t>
            </w:r>
          </w:p>
          <w:p w:rsidR="00000000" w:rsidDel="00000000" w:rsidP="00000000" w:rsidRDefault="00000000" w:rsidRPr="00000000" w14:paraId="0000005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CETL plans are presented at In-Service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September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CETL begins meeting bi-weekly to discuss initiatives</w:t>
            </w:r>
          </w:p>
          <w:p w:rsidR="00000000" w:rsidDel="00000000" w:rsidP="00000000" w:rsidRDefault="00000000" w:rsidRPr="00000000" w14:paraId="0000005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Agendas are available in Appendix H</w:t>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first newsletter is deployed</w:t>
            </w:r>
          </w:p>
          <w:p w:rsidR="00000000" w:rsidDel="00000000" w:rsidP="00000000" w:rsidRDefault="00000000" w:rsidRPr="00000000" w14:paraId="0000005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Workshop Evaluation Survey is developed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“State of Assessment” session is held in conjunction with the Assessment Committee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Interim Report is submitted</w:t>
            </w:r>
          </w:p>
          <w:p w:rsidR="00000000" w:rsidDel="00000000" w:rsidP="00000000" w:rsidRDefault="00000000" w:rsidRPr="00000000" w14:paraId="0000005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Two sessions on Course Assessment reports are held in conjunction with the Assessment Committee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December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Assessment Bootcamp is held over the course of two days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January 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CETL helps to design and facilitate In-Service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February 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CETL resumes its work on the Operations Manual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 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CETL facilitates a session on student engagement with faculty across the disciplines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April 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Panel on artificial intelligence is held</w:t>
            </w:r>
          </w:p>
          <w:p w:rsidR="00000000" w:rsidDel="00000000" w:rsidP="00000000" w:rsidRDefault="00000000" w:rsidRPr="00000000" w14:paraId="0000006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CETl webpage is formally launched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Listening session is held to obtain faculty and staff feedback</w:t>
            </w:r>
          </w:p>
          <w:p w:rsidR="00000000" w:rsidDel="00000000" w:rsidP="00000000" w:rsidRDefault="00000000" w:rsidRPr="00000000" w14:paraId="00000068">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All of which was positive</w:t>
            </w:r>
          </w:p>
          <w:p w:rsidR="00000000" w:rsidDel="00000000" w:rsidP="00000000" w:rsidRDefault="00000000" w:rsidRPr="00000000" w14:paraId="0000006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Operations Manual is completed</w:t>
            </w:r>
          </w:p>
        </w:tc>
      </w:tr>
    </w:tbl>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Assessment Materials</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assure quality delivery and relevant content areas, the CETL employs several different assessment methods. The Campus Needs Survey is a general assessment tool to gauge needs and interests on campus. However, the Workshop Evaluation Survey allows attendees to assess things like whether or not session outcomes were successfully met, if the materials were useful and accessible, and more. The survey itself is available in Appendix I. Listening Sessions also offer a means to engage with faculty and staff in constructive dialogue about strengths and weaknesses. </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Appendix</w:t>
      </w:r>
    </w:p>
    <w:p w:rsidR="00000000" w:rsidDel="00000000" w:rsidP="00000000" w:rsidRDefault="00000000" w:rsidRPr="00000000" w14:paraId="00000070">
      <w:pPr>
        <w:numPr>
          <w:ilvl w:val="0"/>
          <w:numId w:val="8"/>
        </w:numPr>
        <w:ind w:left="720" w:hanging="360"/>
        <w:rPr>
          <w:rFonts w:ascii="Times New Roman" w:cs="Times New Roman" w:eastAsia="Times New Roman" w:hAnsi="Times New Roman"/>
          <w:sz w:val="24"/>
          <w:szCs w:val="24"/>
          <w:u w:val="none"/>
        </w:rPr>
      </w:pPr>
      <w:hyperlink r:id="rId7">
        <w:r w:rsidDel="00000000" w:rsidR="00000000" w:rsidRPr="00000000">
          <w:rPr>
            <w:rFonts w:ascii="Times New Roman" w:cs="Times New Roman" w:eastAsia="Times New Roman" w:hAnsi="Times New Roman"/>
            <w:color w:val="1155cc"/>
            <w:sz w:val="24"/>
            <w:szCs w:val="24"/>
            <w:u w:val="single"/>
            <w:rtl w:val="0"/>
          </w:rPr>
          <w:t xml:space="preserve">Strategic Plan</w:t>
        </w:r>
      </w:hyperlink>
      <w:r w:rsidDel="00000000" w:rsidR="00000000" w:rsidRPr="00000000">
        <w:rPr>
          <w:rtl w:val="0"/>
        </w:rPr>
      </w:r>
    </w:p>
    <w:p w:rsidR="00000000" w:rsidDel="00000000" w:rsidP="00000000" w:rsidRDefault="00000000" w:rsidRPr="00000000" w14:paraId="00000071">
      <w:pPr>
        <w:numPr>
          <w:ilvl w:val="0"/>
          <w:numId w:val="8"/>
        </w:numPr>
        <w:ind w:left="720" w:hanging="360"/>
        <w:rPr>
          <w:rFonts w:ascii="Times New Roman" w:cs="Times New Roman" w:eastAsia="Times New Roman" w:hAnsi="Times New Roman"/>
          <w:sz w:val="24"/>
          <w:szCs w:val="24"/>
          <w:u w:val="none"/>
        </w:rPr>
      </w:pPr>
      <w:hyperlink r:id="rId8">
        <w:r w:rsidDel="00000000" w:rsidR="00000000" w:rsidRPr="00000000">
          <w:rPr>
            <w:rFonts w:ascii="Times New Roman" w:cs="Times New Roman" w:eastAsia="Times New Roman" w:hAnsi="Times New Roman"/>
            <w:color w:val="1155cc"/>
            <w:sz w:val="24"/>
            <w:szCs w:val="24"/>
            <w:u w:val="single"/>
            <w:rtl w:val="0"/>
          </w:rPr>
          <w:t xml:space="preserve">Operations Manual</w:t>
        </w:r>
      </w:hyperlink>
      <w:r w:rsidDel="00000000" w:rsidR="00000000" w:rsidRPr="00000000">
        <w:rPr>
          <w:rtl w:val="0"/>
        </w:rPr>
      </w:r>
    </w:p>
    <w:p w:rsidR="00000000" w:rsidDel="00000000" w:rsidP="00000000" w:rsidRDefault="00000000" w:rsidRPr="00000000" w14:paraId="00000072">
      <w:pPr>
        <w:numPr>
          <w:ilvl w:val="0"/>
          <w:numId w:val="8"/>
        </w:numPr>
        <w:ind w:left="720" w:hanging="360"/>
        <w:rPr>
          <w:rFonts w:ascii="Times New Roman" w:cs="Times New Roman" w:eastAsia="Times New Roman" w:hAnsi="Times New Roman"/>
          <w:sz w:val="24"/>
          <w:szCs w:val="24"/>
          <w:u w:val="none"/>
        </w:rPr>
      </w:pPr>
      <w:hyperlink r:id="rId9">
        <w:r w:rsidDel="00000000" w:rsidR="00000000" w:rsidRPr="00000000">
          <w:rPr>
            <w:rFonts w:ascii="Times New Roman" w:cs="Times New Roman" w:eastAsia="Times New Roman" w:hAnsi="Times New Roman"/>
            <w:color w:val="1155cc"/>
            <w:sz w:val="24"/>
            <w:szCs w:val="24"/>
            <w:u w:val="single"/>
            <w:rtl w:val="0"/>
          </w:rPr>
          <w:t xml:space="preserve">Center for Excellence in Teaching and Learning Webpage </w:t>
        </w:r>
      </w:hyperlink>
      <w:r w:rsidDel="00000000" w:rsidR="00000000" w:rsidRPr="00000000">
        <w:rPr>
          <w:rtl w:val="0"/>
        </w:rPr>
      </w:r>
    </w:p>
    <w:p w:rsidR="00000000" w:rsidDel="00000000" w:rsidP="00000000" w:rsidRDefault="00000000" w:rsidRPr="00000000" w14:paraId="00000073">
      <w:pPr>
        <w:numPr>
          <w:ilvl w:val="0"/>
          <w:numId w:val="8"/>
        </w:numPr>
        <w:ind w:left="720" w:hanging="360"/>
        <w:rPr>
          <w:rFonts w:ascii="Times New Roman" w:cs="Times New Roman" w:eastAsia="Times New Roman" w:hAnsi="Times New Roman"/>
          <w:sz w:val="24"/>
          <w:szCs w:val="24"/>
          <w:u w:val="none"/>
        </w:rPr>
      </w:pPr>
      <w:hyperlink r:id="rId10">
        <w:r w:rsidDel="00000000" w:rsidR="00000000" w:rsidRPr="00000000">
          <w:rPr>
            <w:rFonts w:ascii="Times New Roman" w:cs="Times New Roman" w:eastAsia="Times New Roman" w:hAnsi="Times New Roman"/>
            <w:color w:val="1155cc"/>
            <w:sz w:val="24"/>
            <w:szCs w:val="24"/>
            <w:u w:val="single"/>
            <w:rtl w:val="0"/>
          </w:rPr>
          <w:t xml:space="preserve">Assessment Bootcamp Materials</w:t>
        </w:r>
      </w:hyperlink>
      <w:r w:rsidDel="00000000" w:rsidR="00000000" w:rsidRPr="00000000">
        <w:rPr>
          <w:rtl w:val="0"/>
        </w:rPr>
      </w:r>
    </w:p>
    <w:p w:rsidR="00000000" w:rsidDel="00000000" w:rsidP="00000000" w:rsidRDefault="00000000" w:rsidRPr="00000000" w14:paraId="00000074">
      <w:pPr>
        <w:numPr>
          <w:ilvl w:val="0"/>
          <w:numId w:val="8"/>
        </w:numPr>
        <w:ind w:left="720" w:hanging="360"/>
        <w:rPr>
          <w:rFonts w:ascii="Times New Roman" w:cs="Times New Roman" w:eastAsia="Times New Roman" w:hAnsi="Times New Roman"/>
          <w:sz w:val="24"/>
          <w:szCs w:val="24"/>
          <w:u w:val="none"/>
        </w:rPr>
      </w:pPr>
      <w:hyperlink r:id="rId11">
        <w:r w:rsidDel="00000000" w:rsidR="00000000" w:rsidRPr="00000000">
          <w:rPr>
            <w:rFonts w:ascii="Times New Roman" w:cs="Times New Roman" w:eastAsia="Times New Roman" w:hAnsi="Times New Roman"/>
            <w:color w:val="1155cc"/>
            <w:sz w:val="24"/>
            <w:szCs w:val="24"/>
            <w:u w:val="single"/>
            <w:rtl w:val="0"/>
          </w:rPr>
          <w:t xml:space="preserve">Monthly Newsletter</w:t>
        </w:r>
      </w:hyperlink>
      <w:r w:rsidDel="00000000" w:rsidR="00000000" w:rsidRPr="00000000">
        <w:rPr>
          <w:rtl w:val="0"/>
        </w:rPr>
      </w:r>
    </w:p>
    <w:p w:rsidR="00000000" w:rsidDel="00000000" w:rsidP="00000000" w:rsidRDefault="00000000" w:rsidRPr="00000000" w14:paraId="00000075">
      <w:pPr>
        <w:numPr>
          <w:ilvl w:val="0"/>
          <w:numId w:val="8"/>
        </w:numPr>
        <w:ind w:left="720" w:hanging="360"/>
        <w:rPr>
          <w:rFonts w:ascii="Times New Roman" w:cs="Times New Roman" w:eastAsia="Times New Roman" w:hAnsi="Times New Roman"/>
          <w:sz w:val="24"/>
          <w:szCs w:val="24"/>
          <w:u w:val="none"/>
        </w:rPr>
      </w:pPr>
      <w:hyperlink r:id="rId12">
        <w:r w:rsidDel="00000000" w:rsidR="00000000" w:rsidRPr="00000000">
          <w:rPr>
            <w:rFonts w:ascii="Times New Roman" w:cs="Times New Roman" w:eastAsia="Times New Roman" w:hAnsi="Times New Roman"/>
            <w:color w:val="1155cc"/>
            <w:sz w:val="24"/>
            <w:szCs w:val="24"/>
            <w:u w:val="single"/>
            <w:rtl w:val="0"/>
          </w:rPr>
          <w:t xml:space="preserve">Campus Needs Survey</w:t>
        </w:r>
      </w:hyperlink>
      <w:r w:rsidDel="00000000" w:rsidR="00000000" w:rsidRPr="00000000">
        <w:rPr>
          <w:rtl w:val="0"/>
        </w:rPr>
      </w:r>
    </w:p>
    <w:p w:rsidR="00000000" w:rsidDel="00000000" w:rsidP="00000000" w:rsidRDefault="00000000" w:rsidRPr="00000000" w14:paraId="00000076">
      <w:pPr>
        <w:numPr>
          <w:ilvl w:val="0"/>
          <w:numId w:val="8"/>
        </w:numPr>
        <w:ind w:left="720" w:hanging="360"/>
        <w:rPr>
          <w:rFonts w:ascii="Times New Roman" w:cs="Times New Roman" w:eastAsia="Times New Roman" w:hAnsi="Times New Roman"/>
          <w:sz w:val="24"/>
          <w:szCs w:val="24"/>
          <w:u w:val="none"/>
        </w:rPr>
      </w:pPr>
      <w:hyperlink r:id="rId13">
        <w:r w:rsidDel="00000000" w:rsidR="00000000" w:rsidRPr="00000000">
          <w:rPr>
            <w:rFonts w:ascii="Times New Roman" w:cs="Times New Roman" w:eastAsia="Times New Roman" w:hAnsi="Times New Roman"/>
            <w:color w:val="1155cc"/>
            <w:sz w:val="24"/>
            <w:szCs w:val="24"/>
            <w:u w:val="single"/>
            <w:rtl w:val="0"/>
          </w:rPr>
          <w:t xml:space="preserve">CETL Logo</w:t>
        </w:r>
      </w:hyperlink>
      <w:r w:rsidDel="00000000" w:rsidR="00000000" w:rsidRPr="00000000">
        <w:rPr>
          <w:rtl w:val="0"/>
        </w:rPr>
      </w:r>
    </w:p>
    <w:p w:rsidR="00000000" w:rsidDel="00000000" w:rsidP="00000000" w:rsidRDefault="00000000" w:rsidRPr="00000000" w14:paraId="00000077">
      <w:pPr>
        <w:numPr>
          <w:ilvl w:val="0"/>
          <w:numId w:val="8"/>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Agendas</w:t>
      </w:r>
    </w:p>
    <w:p w:rsidR="00000000" w:rsidDel="00000000" w:rsidP="00000000" w:rsidRDefault="00000000" w:rsidRPr="00000000" w14:paraId="00000078">
      <w:pPr>
        <w:numPr>
          <w:ilvl w:val="1"/>
          <w:numId w:val="8"/>
        </w:numPr>
        <w:ind w:left="1440" w:hanging="360"/>
        <w:rPr>
          <w:rFonts w:ascii="Times New Roman" w:cs="Times New Roman" w:eastAsia="Times New Roman" w:hAnsi="Times New Roman"/>
          <w:sz w:val="24"/>
          <w:szCs w:val="24"/>
          <w:u w:val="none"/>
        </w:rPr>
      </w:pPr>
      <w:hyperlink r:id="rId14">
        <w:r w:rsidDel="00000000" w:rsidR="00000000" w:rsidRPr="00000000">
          <w:rPr>
            <w:rFonts w:ascii="Times New Roman" w:cs="Times New Roman" w:eastAsia="Times New Roman" w:hAnsi="Times New Roman"/>
            <w:color w:val="1155cc"/>
            <w:sz w:val="24"/>
            <w:szCs w:val="24"/>
            <w:u w:val="single"/>
            <w:rtl w:val="0"/>
          </w:rPr>
          <w:t xml:space="preserve">Example One</w:t>
        </w:r>
      </w:hyperlink>
      <w:r w:rsidDel="00000000" w:rsidR="00000000" w:rsidRPr="00000000">
        <w:rPr>
          <w:rtl w:val="0"/>
        </w:rPr>
      </w:r>
    </w:p>
    <w:p w:rsidR="00000000" w:rsidDel="00000000" w:rsidP="00000000" w:rsidRDefault="00000000" w:rsidRPr="00000000" w14:paraId="00000079">
      <w:pPr>
        <w:numPr>
          <w:ilvl w:val="1"/>
          <w:numId w:val="8"/>
        </w:numPr>
        <w:ind w:left="1440" w:hanging="360"/>
        <w:rPr>
          <w:rFonts w:ascii="Times New Roman" w:cs="Times New Roman" w:eastAsia="Times New Roman" w:hAnsi="Times New Roman"/>
          <w:sz w:val="24"/>
          <w:szCs w:val="24"/>
          <w:u w:val="none"/>
        </w:rPr>
      </w:pPr>
      <w:hyperlink r:id="rId15">
        <w:r w:rsidDel="00000000" w:rsidR="00000000" w:rsidRPr="00000000">
          <w:rPr>
            <w:rFonts w:ascii="Times New Roman" w:cs="Times New Roman" w:eastAsia="Times New Roman" w:hAnsi="Times New Roman"/>
            <w:color w:val="1155cc"/>
            <w:sz w:val="24"/>
            <w:szCs w:val="24"/>
            <w:u w:val="single"/>
            <w:rtl w:val="0"/>
          </w:rPr>
          <w:t xml:space="preserve">Example Two</w:t>
        </w:r>
      </w:hyperlink>
      <w:r w:rsidDel="00000000" w:rsidR="00000000" w:rsidRPr="00000000">
        <w:rPr>
          <w:rtl w:val="0"/>
        </w:rPr>
      </w:r>
    </w:p>
    <w:p w:rsidR="00000000" w:rsidDel="00000000" w:rsidP="00000000" w:rsidRDefault="00000000" w:rsidRPr="00000000" w14:paraId="0000007A">
      <w:pPr>
        <w:numPr>
          <w:ilvl w:val="1"/>
          <w:numId w:val="8"/>
        </w:numPr>
        <w:ind w:left="1440" w:hanging="360"/>
        <w:rPr>
          <w:rFonts w:ascii="Times New Roman" w:cs="Times New Roman" w:eastAsia="Times New Roman" w:hAnsi="Times New Roman"/>
          <w:sz w:val="24"/>
          <w:szCs w:val="24"/>
          <w:u w:val="none"/>
        </w:rPr>
      </w:pPr>
      <w:hyperlink r:id="rId16">
        <w:r w:rsidDel="00000000" w:rsidR="00000000" w:rsidRPr="00000000">
          <w:rPr>
            <w:rFonts w:ascii="Times New Roman" w:cs="Times New Roman" w:eastAsia="Times New Roman" w:hAnsi="Times New Roman"/>
            <w:color w:val="1155cc"/>
            <w:sz w:val="24"/>
            <w:szCs w:val="24"/>
            <w:u w:val="single"/>
            <w:rtl w:val="0"/>
          </w:rPr>
          <w:t xml:space="preserve">Example Three</w:t>
        </w:r>
      </w:hyperlink>
      <w:r w:rsidDel="00000000" w:rsidR="00000000" w:rsidRPr="00000000">
        <w:rPr>
          <w:rtl w:val="0"/>
        </w:rPr>
      </w:r>
    </w:p>
    <w:p w:rsidR="00000000" w:rsidDel="00000000" w:rsidP="00000000" w:rsidRDefault="00000000" w:rsidRPr="00000000" w14:paraId="0000007B">
      <w:pPr>
        <w:numPr>
          <w:ilvl w:val="1"/>
          <w:numId w:val="8"/>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All agendas can be found in the CETL Teams channel</w:t>
      </w:r>
      <w:r w:rsidDel="00000000" w:rsidR="00000000" w:rsidRPr="00000000">
        <w:rPr>
          <w:rtl w:val="0"/>
        </w:rPr>
      </w:r>
    </w:p>
    <w:p w:rsidR="00000000" w:rsidDel="00000000" w:rsidP="00000000" w:rsidRDefault="00000000" w:rsidRPr="00000000" w14:paraId="0000007C">
      <w:pPr>
        <w:numPr>
          <w:ilvl w:val="0"/>
          <w:numId w:val="8"/>
        </w:numPr>
        <w:ind w:left="720" w:hanging="360"/>
        <w:rPr>
          <w:rFonts w:ascii="Times New Roman" w:cs="Times New Roman" w:eastAsia="Times New Roman" w:hAnsi="Times New Roman"/>
          <w:sz w:val="24"/>
          <w:szCs w:val="24"/>
          <w:u w:val="none"/>
        </w:rPr>
      </w:pPr>
      <w:hyperlink r:id="rId17">
        <w:r w:rsidDel="00000000" w:rsidR="00000000" w:rsidRPr="00000000">
          <w:rPr>
            <w:rFonts w:ascii="Times New Roman" w:cs="Times New Roman" w:eastAsia="Times New Roman" w:hAnsi="Times New Roman"/>
            <w:color w:val="1155cc"/>
            <w:sz w:val="24"/>
            <w:szCs w:val="24"/>
            <w:u w:val="single"/>
            <w:rtl w:val="0"/>
          </w:rPr>
          <w:t xml:space="preserve">Workshop Evaluation Survey</w:t>
        </w:r>
      </w:hyperlink>
      <w:r w:rsidDel="00000000" w:rsidR="00000000" w:rsidRPr="00000000">
        <w:rPr>
          <w:rtl w:val="0"/>
        </w:rPr>
      </w:r>
    </w:p>
    <w:p w:rsidR="00000000" w:rsidDel="00000000" w:rsidP="00000000" w:rsidRDefault="00000000" w:rsidRPr="00000000" w14:paraId="0000007D">
      <w:pPr>
        <w:numPr>
          <w:ilvl w:val="0"/>
          <w:numId w:val="8"/>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Workshop Survey Results</w:t>
      </w:r>
    </w:p>
    <w:p w:rsidR="00000000" w:rsidDel="00000000" w:rsidP="00000000" w:rsidRDefault="00000000" w:rsidRPr="00000000" w14:paraId="0000007E">
      <w:pPr>
        <w:numPr>
          <w:ilvl w:val="1"/>
          <w:numId w:val="8"/>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All workshop survey results are housed in the CETL Teams channel, but they easily are available upon request.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r3qXe0-ijpf0hvIv_tj4ej0jy4F-j5dA/view?usp=sharing" TargetMode="External"/><Relationship Id="rId10" Type="http://schemas.openxmlformats.org/officeDocument/2006/relationships/hyperlink" Target="https://docs.google.com/document/d/1duLDwzOsSgG3rEWPgmt4tkYgbMpKe_3nsGkNCJOGZeA/edit?usp=sharing" TargetMode="External"/><Relationship Id="rId13" Type="http://schemas.openxmlformats.org/officeDocument/2006/relationships/hyperlink" Target="https://docs.google.com/document/d/10YwkH3wmGB3YFavFIerZtAB4AAu7U6kz73YGy2qvMmw/edit?usp=sharing" TargetMode="External"/><Relationship Id="rId12" Type="http://schemas.openxmlformats.org/officeDocument/2006/relationships/hyperlink" Target="https://forms.office.com/r/9uc7fiSyL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ctc.edu/cetl" TargetMode="External"/><Relationship Id="rId15" Type="http://schemas.openxmlformats.org/officeDocument/2006/relationships/hyperlink" Target="https://docs.google.com/document/d/1ppznr0FRfFtsn96aBH6bVKwPHu2bNUjz/edit?usp=sharing&amp;ouid=103374162439915662899&amp;rtpof=true&amp;sd=true" TargetMode="External"/><Relationship Id="rId14" Type="http://schemas.openxmlformats.org/officeDocument/2006/relationships/hyperlink" Target="https://docs.google.com/document/d/1iJDCtdAOJ5gWuFXbamlxYiAjkIce8zU3/edit?usp=sharing&amp;ouid=103374162439915662899&amp;rtpof=true&amp;sd=true" TargetMode="External"/><Relationship Id="rId17" Type="http://schemas.openxmlformats.org/officeDocument/2006/relationships/hyperlink" Target="https://forms.office.com/r/z451VMP3iY" TargetMode="External"/><Relationship Id="rId16" Type="http://schemas.openxmlformats.org/officeDocument/2006/relationships/hyperlink" Target="https://docs.google.com/document/d/1bAmAU-dg7eF3y1M09vN_kGiq--q_YKGc/edit?usp=sharing&amp;ouid=103374162439915662899&amp;rtpof=true&amp;sd=true"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E35SVQtmIvA9YoaRVQVERTuQyOSjY9LVz_X0zCSzaaw/edit?usp=sharing" TargetMode="External"/><Relationship Id="rId8" Type="http://schemas.openxmlformats.org/officeDocument/2006/relationships/hyperlink" Target="https://docs.google.com/document/d/1HRGemlJa3Vm-aIXRNOAPWA5MHfzZp1bcesGcnm-_gYo/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