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F7B0" w14:textId="77777777" w:rsidR="002308BE" w:rsidRDefault="002308BE" w:rsidP="002308BE">
      <w:pPr>
        <w:spacing w:before="80" w:line="289" w:lineRule="exact"/>
        <w:ind w:left="540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BOARD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2"/>
          <w:sz w:val="24"/>
        </w:rPr>
        <w:t xml:space="preserve"> GOVERNORS</w:t>
      </w:r>
    </w:p>
    <w:p w14:paraId="7D0507E1" w14:textId="77777777" w:rsidR="002308BE" w:rsidRDefault="002308BE" w:rsidP="002308BE">
      <w:pPr>
        <w:ind w:left="540" w:right="2641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MOUNTWEST COMMUNITY AND TECHNICAL COLLEGE</w:t>
      </w:r>
    </w:p>
    <w:p w14:paraId="450C4723" w14:textId="1844BDE0" w:rsidR="002308BE" w:rsidRDefault="00A351EA" w:rsidP="002308BE">
      <w:pPr>
        <w:ind w:left="540" w:right="2641"/>
        <w:rPr>
          <w:rFonts w:ascii="Tahoma"/>
          <w:b/>
          <w:sz w:val="24"/>
        </w:rPr>
      </w:pPr>
      <w:r>
        <w:rPr>
          <w:rFonts w:ascii="Tahoma"/>
          <w:b/>
          <w:sz w:val="24"/>
        </w:rPr>
        <w:t xml:space="preserve">OCTOBER </w:t>
      </w:r>
      <w:r w:rsidR="004157FA">
        <w:rPr>
          <w:rFonts w:ascii="Tahoma"/>
          <w:b/>
          <w:sz w:val="24"/>
        </w:rPr>
        <w:t>26</w:t>
      </w:r>
      <w:r w:rsidR="002308BE">
        <w:rPr>
          <w:rFonts w:ascii="Tahoma"/>
          <w:b/>
          <w:sz w:val="24"/>
        </w:rPr>
        <w:t>, 2023</w:t>
      </w:r>
    </w:p>
    <w:p w14:paraId="6351C78E" w14:textId="77777777" w:rsidR="002308BE" w:rsidRDefault="002308BE" w:rsidP="002308BE">
      <w:pPr>
        <w:pStyle w:val="BodyText"/>
        <w:spacing w:before="11"/>
        <w:rPr>
          <w:rFonts w:ascii="Tahoma"/>
          <w:b/>
          <w:sz w:val="27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5561"/>
      </w:tblGrid>
      <w:tr w:rsidR="002308BE" w14:paraId="3920CC46" w14:textId="77777777" w:rsidTr="00730328">
        <w:trPr>
          <w:trHeight w:val="304"/>
        </w:trPr>
        <w:tc>
          <w:tcPr>
            <w:tcW w:w="3957" w:type="dxa"/>
          </w:tcPr>
          <w:p w14:paraId="53617052" w14:textId="77777777" w:rsidR="002308BE" w:rsidRDefault="002308BE" w:rsidP="00C87116">
            <w:pPr>
              <w:pStyle w:val="TableParagraph"/>
              <w:ind w:left="5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ITEM:</w:t>
            </w:r>
          </w:p>
        </w:tc>
        <w:tc>
          <w:tcPr>
            <w:tcW w:w="5561" w:type="dxa"/>
          </w:tcPr>
          <w:p w14:paraId="5C1EDC8B" w14:textId="48E96592" w:rsidR="002308BE" w:rsidRDefault="002308BE" w:rsidP="00C87116">
            <w:pPr>
              <w:pStyle w:val="TableParagraph"/>
              <w:ind w:left="183"/>
              <w:rPr>
                <w:rFonts w:ascii="Tahoma"/>
                <w:b/>
                <w:spacing w:val="-2"/>
                <w:sz w:val="24"/>
              </w:rPr>
            </w:pPr>
            <w:r>
              <w:rPr>
                <w:rFonts w:ascii="Tahoma"/>
                <w:b/>
                <w:sz w:val="24"/>
              </w:rPr>
              <w:t>Capital Project Management Policy</w:t>
            </w:r>
          </w:p>
          <w:p w14:paraId="26FFA9C6" w14:textId="77777777" w:rsidR="002308BE" w:rsidRDefault="002308BE" w:rsidP="00C87116">
            <w:pPr>
              <w:pStyle w:val="TableParagraph"/>
              <w:ind w:left="183"/>
              <w:rPr>
                <w:rFonts w:ascii="Tahoma"/>
                <w:b/>
                <w:sz w:val="24"/>
              </w:rPr>
            </w:pPr>
          </w:p>
        </w:tc>
      </w:tr>
      <w:tr w:rsidR="002308BE" w14:paraId="294736EC" w14:textId="77777777" w:rsidTr="00730328">
        <w:trPr>
          <w:trHeight w:val="890"/>
        </w:trPr>
        <w:tc>
          <w:tcPr>
            <w:tcW w:w="3957" w:type="dxa"/>
          </w:tcPr>
          <w:p w14:paraId="3A496DE0" w14:textId="77777777" w:rsidR="002308BE" w:rsidRDefault="002308BE" w:rsidP="00C87116">
            <w:pPr>
              <w:pStyle w:val="TableParagraph"/>
              <w:ind w:left="5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RECOMMENDED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RESOLUTION:</w:t>
            </w:r>
          </w:p>
        </w:tc>
        <w:tc>
          <w:tcPr>
            <w:tcW w:w="5561" w:type="dxa"/>
          </w:tcPr>
          <w:p w14:paraId="2E08F90D" w14:textId="0C0E331C" w:rsidR="002308BE" w:rsidRDefault="002308BE" w:rsidP="00C87116">
            <w:pPr>
              <w:pStyle w:val="TableParagraph"/>
              <w:spacing w:line="237" w:lineRule="auto"/>
              <w:ind w:left="183" w:right="52"/>
              <w:jc w:val="both"/>
              <w:rPr>
                <w:rFonts w:ascii="Tahoma"/>
                <w:sz w:val="24"/>
              </w:rPr>
            </w:pPr>
            <w:r>
              <w:rPr>
                <w:rFonts w:ascii="Tahoma"/>
                <w:i/>
                <w:sz w:val="25"/>
              </w:rPr>
              <w:t xml:space="preserve">Resolved, </w:t>
            </w:r>
            <w:r>
              <w:rPr>
                <w:rFonts w:ascii="Tahoma"/>
                <w:sz w:val="24"/>
              </w:rPr>
              <w:t xml:space="preserve">That the </w:t>
            </w:r>
            <w:proofErr w:type="spellStart"/>
            <w:r>
              <w:rPr>
                <w:rFonts w:ascii="Tahoma"/>
                <w:sz w:val="24"/>
              </w:rPr>
              <w:t>Mountwest</w:t>
            </w:r>
            <w:proofErr w:type="spellEnd"/>
            <w:r>
              <w:rPr>
                <w:rFonts w:ascii="Tahoma"/>
                <w:sz w:val="24"/>
              </w:rPr>
              <w:t xml:space="preserve"> Community &amp; Technical College Board of Governors approves the </w:t>
            </w:r>
            <w:r w:rsidR="0001112D">
              <w:rPr>
                <w:rFonts w:ascii="Tahoma"/>
                <w:sz w:val="24"/>
              </w:rPr>
              <w:t>Capital Project Management Policy</w:t>
            </w:r>
            <w:r>
              <w:rPr>
                <w:rFonts w:ascii="Tahoma"/>
                <w:sz w:val="24"/>
              </w:rPr>
              <w:t>.</w:t>
            </w:r>
          </w:p>
        </w:tc>
      </w:tr>
      <w:tr w:rsidR="002308BE" w14:paraId="4525869F" w14:textId="77777777" w:rsidTr="00730328">
        <w:trPr>
          <w:trHeight w:val="601"/>
        </w:trPr>
        <w:tc>
          <w:tcPr>
            <w:tcW w:w="3957" w:type="dxa"/>
          </w:tcPr>
          <w:p w14:paraId="2C12D55A" w14:textId="77777777" w:rsidR="002308BE" w:rsidRDefault="002308BE" w:rsidP="00C87116">
            <w:pPr>
              <w:pStyle w:val="TableParagraph"/>
              <w:ind w:left="5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STAFF</w:t>
            </w:r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MEMBER:</w:t>
            </w:r>
          </w:p>
        </w:tc>
        <w:tc>
          <w:tcPr>
            <w:tcW w:w="5561" w:type="dxa"/>
          </w:tcPr>
          <w:p w14:paraId="698F9A76" w14:textId="77777777" w:rsidR="002308BE" w:rsidRDefault="002308BE" w:rsidP="00C87116">
            <w:pPr>
              <w:pStyle w:val="TableParagraph"/>
              <w:ind w:left="183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Kristi Williams</w:t>
            </w:r>
          </w:p>
        </w:tc>
      </w:tr>
    </w:tbl>
    <w:p w14:paraId="3E9D4AAB" w14:textId="77777777" w:rsidR="00B64F40" w:rsidRDefault="00212B6A" w:rsidP="00487960">
      <w:pPr>
        <w:pStyle w:val="Heading1"/>
        <w:spacing w:before="99"/>
        <w:ind w:left="0" w:firstLine="220"/>
      </w:pPr>
      <w:r>
        <w:t>Section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rPr>
          <w:spacing w:val="-2"/>
        </w:rPr>
        <w:t>General</w:t>
      </w:r>
    </w:p>
    <w:p w14:paraId="3E9D4AAC" w14:textId="77777777" w:rsidR="00B64F40" w:rsidRDefault="00B64F40">
      <w:pPr>
        <w:pStyle w:val="BodyText"/>
        <w:spacing w:before="10"/>
        <w:rPr>
          <w:b/>
          <w:sz w:val="21"/>
        </w:rPr>
      </w:pPr>
    </w:p>
    <w:p w14:paraId="3E9D4AAD" w14:textId="741E1D9F" w:rsidR="00B64F40" w:rsidRDefault="00212B6A" w:rsidP="00E3633F">
      <w:pPr>
        <w:pStyle w:val="ListParagraph"/>
        <w:numPr>
          <w:ilvl w:val="1"/>
          <w:numId w:val="3"/>
        </w:numPr>
        <w:tabs>
          <w:tab w:val="left" w:pos="937"/>
          <w:tab w:val="left" w:pos="940"/>
        </w:tabs>
        <w:ind w:right="218"/>
      </w:pPr>
      <w:r>
        <w:t xml:space="preserve">Scope: This policy governs the management of </w:t>
      </w:r>
      <w:proofErr w:type="spellStart"/>
      <w:r w:rsidR="00EE52D7">
        <w:t>Mountwest</w:t>
      </w:r>
      <w:proofErr w:type="spellEnd"/>
      <w:r w:rsidR="00EE52D7">
        <w:t xml:space="preserve"> Community and Technical College’s</w:t>
      </w:r>
      <w:r>
        <w:t xml:space="preserve"> Facilities Master Plan</w:t>
      </w:r>
      <w:r>
        <w:t>, Five Year Campus Development Plan</w:t>
      </w:r>
      <w:r>
        <w:t xml:space="preserve"> and capital projects in excess of </w:t>
      </w:r>
      <w:r w:rsidRPr="001A09F0">
        <w:rPr>
          <w:highlight w:val="yellow"/>
        </w:rPr>
        <w:t>$250,000.</w:t>
      </w:r>
    </w:p>
    <w:p w14:paraId="3E9D4AAE" w14:textId="77777777" w:rsidR="00B64F40" w:rsidRDefault="00B64F40">
      <w:pPr>
        <w:pStyle w:val="BodyText"/>
        <w:spacing w:before="1"/>
      </w:pPr>
    </w:p>
    <w:p w14:paraId="3E9D4AAF" w14:textId="77777777" w:rsidR="00B64F40" w:rsidRDefault="00212B6A">
      <w:pPr>
        <w:pStyle w:val="ListParagraph"/>
        <w:numPr>
          <w:ilvl w:val="1"/>
          <w:numId w:val="3"/>
        </w:numPr>
        <w:tabs>
          <w:tab w:val="left" w:pos="937"/>
          <w:tab w:val="left" w:pos="940"/>
        </w:tabs>
        <w:ind w:right="217"/>
        <w:jc w:val="both"/>
      </w:pPr>
      <w:r>
        <w:t>Authority:</w:t>
      </w:r>
      <w:r>
        <w:rPr>
          <w:spacing w:val="40"/>
        </w:rPr>
        <w:t xml:space="preserve"> </w:t>
      </w:r>
      <w:r>
        <w:t>WV Code §18B-1-6, 18B-1B-4, and 18B-10-8, WV Council for Community &amp; Techni</w:t>
      </w:r>
      <w:r>
        <w:t>cal College Education Title 135, Series 12</w:t>
      </w:r>
    </w:p>
    <w:p w14:paraId="3E9D4AB0" w14:textId="77777777" w:rsidR="00B64F40" w:rsidRDefault="00B64F40">
      <w:pPr>
        <w:pStyle w:val="BodyText"/>
      </w:pPr>
    </w:p>
    <w:p w14:paraId="3E9D4AB1" w14:textId="37D31098" w:rsidR="00B64F40" w:rsidRPr="000E1EDE" w:rsidRDefault="00212B6A">
      <w:pPr>
        <w:pStyle w:val="ListParagraph"/>
        <w:numPr>
          <w:ilvl w:val="1"/>
          <w:numId w:val="3"/>
        </w:numPr>
        <w:tabs>
          <w:tab w:val="left" w:pos="939"/>
        </w:tabs>
        <w:ind w:left="939" w:hanging="719"/>
        <w:rPr>
          <w:highlight w:val="yellow"/>
        </w:rPr>
      </w:pPr>
      <w:r>
        <w:t>Effective</w:t>
      </w:r>
      <w:r>
        <w:rPr>
          <w:spacing w:val="-5"/>
        </w:rPr>
        <w:t xml:space="preserve"> </w:t>
      </w:r>
      <w:r>
        <w:t>Date:</w:t>
      </w:r>
      <w:r>
        <w:rPr>
          <w:spacing w:val="-3"/>
        </w:rPr>
        <w:t xml:space="preserve"> </w:t>
      </w:r>
      <w:r w:rsidR="000E1EDE" w:rsidRPr="000E1EDE">
        <w:rPr>
          <w:spacing w:val="-3"/>
          <w:highlight w:val="yellow"/>
        </w:rPr>
        <w:t>XXXXXXX</w:t>
      </w:r>
    </w:p>
    <w:p w14:paraId="3E9D4AB2" w14:textId="77777777" w:rsidR="00B64F40" w:rsidRDefault="00B64F40">
      <w:pPr>
        <w:pStyle w:val="BodyText"/>
        <w:spacing w:before="11"/>
        <w:rPr>
          <w:sz w:val="21"/>
        </w:rPr>
      </w:pPr>
    </w:p>
    <w:p w14:paraId="3E9D4AB3" w14:textId="77777777" w:rsidR="00B64F40" w:rsidRDefault="00212B6A">
      <w:pPr>
        <w:pStyle w:val="Heading1"/>
      </w:pPr>
      <w:r>
        <w:t>Section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rPr>
          <w:spacing w:val="-2"/>
        </w:rPr>
        <w:t>Purpose</w:t>
      </w:r>
    </w:p>
    <w:p w14:paraId="3E9D4AB4" w14:textId="77777777" w:rsidR="00B64F40" w:rsidRDefault="00B64F40">
      <w:pPr>
        <w:pStyle w:val="BodyText"/>
        <w:rPr>
          <w:b/>
        </w:rPr>
      </w:pPr>
    </w:p>
    <w:p w14:paraId="3E9D4AB5" w14:textId="627FBD7C" w:rsidR="00B64F40" w:rsidRDefault="00212B6A">
      <w:pPr>
        <w:pStyle w:val="ListParagraph"/>
        <w:numPr>
          <w:ilvl w:val="1"/>
          <w:numId w:val="2"/>
        </w:numPr>
        <w:tabs>
          <w:tab w:val="left" w:pos="937"/>
          <w:tab w:val="left" w:pos="940"/>
        </w:tabs>
        <w:ind w:right="218"/>
        <w:jc w:val="both"/>
      </w:pPr>
      <w:r>
        <w:t xml:space="preserve">The purpose of this policy is to establish guidelines, delegate appropriate authority and assign responsibility for the governance of capital planning and management activities under the authority of the </w:t>
      </w:r>
      <w:proofErr w:type="spellStart"/>
      <w:r w:rsidR="000E1EDE">
        <w:t>Mountwest</w:t>
      </w:r>
      <w:proofErr w:type="spellEnd"/>
      <w:r w:rsidR="000E1EDE">
        <w:t xml:space="preserve"> Community and Technical College</w:t>
      </w:r>
      <w:r>
        <w:t xml:space="preserve"> Board of Gov</w:t>
      </w:r>
      <w:r>
        <w:t>ernors. This policy shall also govern the acquisition of facilities, real property, and capital equipment by lease or lease/purchase.</w:t>
      </w:r>
    </w:p>
    <w:p w14:paraId="3E9D4AB6" w14:textId="77777777" w:rsidR="00B64F40" w:rsidRDefault="00B64F40">
      <w:pPr>
        <w:pStyle w:val="BodyText"/>
      </w:pPr>
    </w:p>
    <w:p w14:paraId="3E9D4AB7" w14:textId="77777777" w:rsidR="00B64F40" w:rsidRDefault="00212B6A">
      <w:pPr>
        <w:pStyle w:val="Heading1"/>
        <w:ind w:left="939" w:hanging="720"/>
      </w:pPr>
      <w:r>
        <w:t xml:space="preserve">Section 3. Governing Board’s Assignment of Responsibility and Process for Review and Approval of Capital </w:t>
      </w:r>
      <w:r>
        <w:rPr>
          <w:spacing w:val="-2"/>
        </w:rPr>
        <w:t>Projects.</w:t>
      </w:r>
    </w:p>
    <w:p w14:paraId="3E9D4AB8" w14:textId="77777777" w:rsidR="00B64F40" w:rsidRDefault="00B64F40">
      <w:pPr>
        <w:pStyle w:val="BodyText"/>
        <w:rPr>
          <w:b/>
        </w:rPr>
      </w:pPr>
    </w:p>
    <w:p w14:paraId="3E9D4AB9" w14:textId="77777777" w:rsidR="00B64F40" w:rsidRDefault="00212B6A">
      <w:pPr>
        <w:pStyle w:val="ListParagraph"/>
        <w:numPr>
          <w:ilvl w:val="1"/>
          <w:numId w:val="1"/>
        </w:numPr>
        <w:tabs>
          <w:tab w:val="left" w:pos="936"/>
          <w:tab w:val="left" w:pos="939"/>
        </w:tabs>
        <w:ind w:right="219"/>
        <w:jc w:val="both"/>
      </w:pPr>
      <w:r>
        <w:t>It sh</w:t>
      </w:r>
      <w:r>
        <w:t>all be the responsibility of the President or his (her) designee to propose to the Governing Board for review and approval all of the following:</w:t>
      </w:r>
    </w:p>
    <w:p w14:paraId="3E9D4ABA" w14:textId="77777777" w:rsidR="00B64F40" w:rsidRDefault="00B64F40">
      <w:pPr>
        <w:pStyle w:val="BodyText"/>
      </w:pPr>
    </w:p>
    <w:p w14:paraId="3E9D4ABB" w14:textId="77777777" w:rsidR="00B64F40" w:rsidRDefault="00212B6A">
      <w:pPr>
        <w:pStyle w:val="ListParagraph"/>
        <w:numPr>
          <w:ilvl w:val="2"/>
          <w:numId w:val="1"/>
        </w:numPr>
        <w:tabs>
          <w:tab w:val="left" w:pos="1052"/>
        </w:tabs>
        <w:ind w:left="1052" w:hanging="113"/>
        <w:jc w:val="left"/>
      </w:pPr>
      <w:r>
        <w:t>Ten-year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t>master</w:t>
      </w:r>
      <w:r>
        <w:rPr>
          <w:spacing w:val="-11"/>
        </w:rPr>
        <w:t xml:space="preserve"> </w:t>
      </w:r>
      <w:r>
        <w:rPr>
          <w:spacing w:val="-4"/>
        </w:rPr>
        <w:t>plans</w:t>
      </w:r>
    </w:p>
    <w:p w14:paraId="3E9D4ABD" w14:textId="77777777" w:rsidR="00B64F40" w:rsidRDefault="00212B6A">
      <w:pPr>
        <w:pStyle w:val="ListParagraph"/>
        <w:numPr>
          <w:ilvl w:val="2"/>
          <w:numId w:val="1"/>
        </w:numPr>
        <w:tabs>
          <w:tab w:val="left" w:pos="1052"/>
        </w:tabs>
        <w:spacing w:line="252" w:lineRule="exact"/>
        <w:ind w:left="1052" w:hanging="113"/>
        <w:jc w:val="left"/>
      </w:pPr>
      <w:r>
        <w:t>Capital</w:t>
      </w:r>
      <w:r>
        <w:rPr>
          <w:spacing w:val="-5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 w:rsidRPr="00C03C3A">
        <w:rPr>
          <w:spacing w:val="-2"/>
          <w:highlight w:val="yellow"/>
        </w:rPr>
        <w:t>$250,000.</w:t>
      </w:r>
    </w:p>
    <w:p w14:paraId="3E9D4ABE" w14:textId="77777777" w:rsidR="00B64F40" w:rsidRDefault="00212B6A">
      <w:pPr>
        <w:pStyle w:val="ListParagraph"/>
        <w:numPr>
          <w:ilvl w:val="2"/>
          <w:numId w:val="1"/>
        </w:numPr>
        <w:tabs>
          <w:tab w:val="left" w:pos="1051"/>
        </w:tabs>
        <w:spacing w:line="252" w:lineRule="exact"/>
        <w:ind w:left="1051" w:hanging="112"/>
        <w:jc w:val="left"/>
      </w:pPr>
      <w:r>
        <w:t>Capital</w:t>
      </w:r>
      <w:r>
        <w:rPr>
          <w:spacing w:val="-6"/>
        </w:rPr>
        <w:t xml:space="preserve"> </w:t>
      </w:r>
      <w:r>
        <w:t>lease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lease</w:t>
      </w:r>
      <w:r>
        <w:rPr>
          <w:spacing w:val="-7"/>
        </w:rPr>
        <w:t xml:space="preserve"> </w:t>
      </w:r>
      <w:r>
        <w:t>/purchase</w:t>
      </w:r>
      <w:r>
        <w:rPr>
          <w:spacing w:val="-6"/>
        </w:rPr>
        <w:t xml:space="preserve"> </w:t>
      </w:r>
      <w:r>
        <w:t>agreements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excess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 w:rsidRPr="00C03C3A">
        <w:rPr>
          <w:spacing w:val="-2"/>
          <w:highlight w:val="yellow"/>
        </w:rPr>
        <w:t>$250,000</w:t>
      </w:r>
      <w:r>
        <w:rPr>
          <w:spacing w:val="-2"/>
        </w:rPr>
        <w:t>.</w:t>
      </w:r>
    </w:p>
    <w:p w14:paraId="3E9D4ABF" w14:textId="77777777" w:rsidR="00B64F40" w:rsidRDefault="00212B6A">
      <w:pPr>
        <w:pStyle w:val="ListParagraph"/>
        <w:numPr>
          <w:ilvl w:val="2"/>
          <w:numId w:val="1"/>
        </w:numPr>
        <w:tabs>
          <w:tab w:val="left" w:pos="1052"/>
        </w:tabs>
        <w:spacing w:before="1"/>
        <w:ind w:left="1052" w:hanging="113"/>
        <w:jc w:val="left"/>
      </w:pPr>
      <w:r>
        <w:t>Acquisition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rPr>
          <w:spacing w:val="-2"/>
        </w:rPr>
        <w:t>property.</w:t>
      </w:r>
    </w:p>
    <w:p w14:paraId="3E9D4AC0" w14:textId="77777777" w:rsidR="00B64F40" w:rsidRDefault="00B64F40">
      <w:pPr>
        <w:pStyle w:val="BodyText"/>
        <w:spacing w:before="10"/>
        <w:rPr>
          <w:sz w:val="21"/>
        </w:rPr>
      </w:pPr>
    </w:p>
    <w:p w14:paraId="3E9D4AC1" w14:textId="6C69B0B5" w:rsidR="00B64F40" w:rsidRDefault="00212B6A">
      <w:pPr>
        <w:pStyle w:val="ListParagraph"/>
        <w:numPr>
          <w:ilvl w:val="1"/>
          <w:numId w:val="1"/>
        </w:numPr>
        <w:tabs>
          <w:tab w:val="left" w:pos="936"/>
          <w:tab w:val="left" w:pos="939"/>
        </w:tabs>
        <w:ind w:right="220"/>
        <w:jc w:val="both"/>
      </w:pPr>
      <w:r>
        <w:t xml:space="preserve">Such projects as cited in section 3.1 above shall be submitted to the Board of Governors through its </w:t>
      </w:r>
      <w:r w:rsidR="004517BB" w:rsidRPr="004517BB">
        <w:rPr>
          <w:highlight w:val="yellow"/>
        </w:rPr>
        <w:t>Finance Committee</w:t>
      </w:r>
      <w:r>
        <w:t>.</w:t>
      </w:r>
    </w:p>
    <w:p w14:paraId="3E9D4AC2" w14:textId="77777777" w:rsidR="00B64F40" w:rsidRDefault="00B64F40">
      <w:pPr>
        <w:pStyle w:val="BodyText"/>
      </w:pPr>
    </w:p>
    <w:p w14:paraId="3E9D4AC3" w14:textId="77777777" w:rsidR="00B64F40" w:rsidRDefault="00212B6A">
      <w:pPr>
        <w:pStyle w:val="ListParagraph"/>
        <w:numPr>
          <w:ilvl w:val="1"/>
          <w:numId w:val="1"/>
        </w:numPr>
        <w:tabs>
          <w:tab w:val="left" w:pos="939"/>
        </w:tabs>
      </w:pPr>
      <w:r>
        <w:t>Capital</w:t>
      </w:r>
      <w:r>
        <w:rPr>
          <w:spacing w:val="-9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capital</w:t>
      </w:r>
      <w:r>
        <w:rPr>
          <w:spacing w:val="-9"/>
        </w:rPr>
        <w:t xml:space="preserve"> </w:t>
      </w:r>
      <w:r>
        <w:t>leases</w:t>
      </w:r>
      <w:r>
        <w:rPr>
          <w:spacing w:val="-8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exceed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dollars</w:t>
      </w:r>
      <w:r>
        <w:rPr>
          <w:spacing w:val="-8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rPr>
          <w:spacing w:val="-2"/>
        </w:rPr>
        <w:t>approval.</w:t>
      </w:r>
    </w:p>
    <w:p w14:paraId="3E9D4AC4" w14:textId="77777777" w:rsidR="00B64F40" w:rsidRDefault="00B64F40">
      <w:pPr>
        <w:pStyle w:val="BodyText"/>
      </w:pPr>
    </w:p>
    <w:p w14:paraId="3E9D4AC5" w14:textId="77777777" w:rsidR="00B64F40" w:rsidRDefault="00212B6A">
      <w:pPr>
        <w:pStyle w:val="ListParagraph"/>
        <w:numPr>
          <w:ilvl w:val="1"/>
          <w:numId w:val="1"/>
        </w:numPr>
        <w:tabs>
          <w:tab w:val="left" w:pos="936"/>
          <w:tab w:val="left" w:pos="939"/>
        </w:tabs>
        <w:ind w:right="218"/>
        <w:jc w:val="both"/>
      </w:pPr>
      <w:r>
        <w:t>In the e</w:t>
      </w:r>
      <w:r>
        <w:t>vent of multiple capital projects exceeding $250,000, the projects should be recommended in proposed order of priority.</w:t>
      </w:r>
    </w:p>
    <w:p w14:paraId="3E9D4AC6" w14:textId="77777777" w:rsidR="00B64F40" w:rsidRDefault="00B64F40">
      <w:pPr>
        <w:pStyle w:val="BodyText"/>
      </w:pPr>
    </w:p>
    <w:p w14:paraId="3E9D4AC7" w14:textId="77777777" w:rsidR="00B64F40" w:rsidRDefault="00212B6A">
      <w:pPr>
        <w:pStyle w:val="ListParagraph"/>
        <w:numPr>
          <w:ilvl w:val="1"/>
          <w:numId w:val="1"/>
        </w:numPr>
        <w:tabs>
          <w:tab w:val="left" w:pos="936"/>
          <w:tab w:val="left" w:pos="939"/>
        </w:tabs>
        <w:ind w:right="218"/>
        <w:jc w:val="both"/>
      </w:pPr>
      <w:r>
        <w:t xml:space="preserve">Prior to submission to the Council, Facilities Master Plans should be reviewed by the Governing Board to </w:t>
      </w:r>
      <w:proofErr w:type="gramStart"/>
      <w:r>
        <w:t>insure</w:t>
      </w:r>
      <w:proofErr w:type="gramEnd"/>
      <w:r>
        <w:t xml:space="preserve"> that the plans are desi</w:t>
      </w:r>
      <w:r>
        <w:t>gned to support the mission and current programs of the college and are realistically consistent with anticipated funding.</w:t>
      </w:r>
    </w:p>
    <w:p w14:paraId="3E9D4ACA" w14:textId="77777777" w:rsidR="00B64F40" w:rsidRDefault="00B64F40">
      <w:pPr>
        <w:pStyle w:val="BodyText"/>
        <w:spacing w:before="10"/>
        <w:rPr>
          <w:sz w:val="21"/>
        </w:rPr>
      </w:pPr>
    </w:p>
    <w:p w14:paraId="3E9D4ACB" w14:textId="77777777" w:rsidR="00B64F40" w:rsidRDefault="00212B6A">
      <w:pPr>
        <w:pStyle w:val="ListParagraph"/>
        <w:numPr>
          <w:ilvl w:val="1"/>
          <w:numId w:val="1"/>
        </w:numPr>
        <w:tabs>
          <w:tab w:val="left" w:pos="937"/>
          <w:tab w:val="left" w:pos="940"/>
        </w:tabs>
        <w:spacing w:before="1"/>
        <w:ind w:left="940" w:right="217"/>
        <w:jc w:val="both"/>
      </w:pPr>
      <w:r>
        <w:t>Individual Capital Projects exceeding $250,000 should be reviewed by the Governing Board for funding availability and consistency with the objectives of the current campus five-year development plan or such other justification as may be warranted.</w:t>
      </w:r>
    </w:p>
    <w:p w14:paraId="3E9D4ACC" w14:textId="77777777" w:rsidR="00B64F40" w:rsidRDefault="00B64F40">
      <w:pPr>
        <w:pStyle w:val="BodyText"/>
      </w:pPr>
    </w:p>
    <w:sectPr w:rsidR="00B64F40" w:rsidSect="00A74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10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4AD5" w14:textId="77777777" w:rsidR="00000000" w:rsidRDefault="00212B6A">
      <w:r>
        <w:separator/>
      </w:r>
    </w:p>
  </w:endnote>
  <w:endnote w:type="continuationSeparator" w:id="0">
    <w:p w14:paraId="3E9D4AD7" w14:textId="77777777" w:rsidR="00000000" w:rsidRDefault="002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845" w14:textId="77777777" w:rsidR="00212B6A" w:rsidRDefault="0021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4AD0" w14:textId="77777777" w:rsidR="00B64F40" w:rsidRDefault="00212B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4320" behindDoc="1" locked="0" layoutInCell="1" allowOverlap="1" wp14:anchorId="3E9D4AD1" wp14:editId="3E9D4AD2">
              <wp:simplePos x="0" y="0"/>
              <wp:positionH relativeFrom="page">
                <wp:posOffset>3812285</wp:posOffset>
              </wp:positionH>
              <wp:positionV relativeFrom="page">
                <wp:posOffset>9275127</wp:posOffset>
              </wp:positionV>
              <wp:extent cx="16002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9D4AD6" w14:textId="77777777" w:rsidR="00B64F40" w:rsidRDefault="00212B6A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D4AD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0.2pt;margin-top:730.3pt;width:12.6pt;height:13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" filled="f" stroked="f">
              <v:textbox inset="0,0,0,0">
                <w:txbxContent>
                  <w:p w14:paraId="3E9D4AD6" w14:textId="77777777" w:rsidR="00B64F40" w:rsidRDefault="00212B6A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</w:rPr>
                      <w:t>1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4E9" w14:textId="77777777" w:rsidR="00212B6A" w:rsidRDefault="0021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4AD1" w14:textId="77777777" w:rsidR="00000000" w:rsidRDefault="00212B6A">
      <w:r>
        <w:separator/>
      </w:r>
    </w:p>
  </w:footnote>
  <w:footnote w:type="continuationSeparator" w:id="0">
    <w:p w14:paraId="3E9D4AD3" w14:textId="77777777" w:rsidR="00000000" w:rsidRDefault="0021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A247" w14:textId="77777777" w:rsidR="00212B6A" w:rsidRDefault="0021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556380"/>
      <w:docPartObj>
        <w:docPartGallery w:val="Watermarks"/>
        <w:docPartUnique/>
      </w:docPartObj>
    </w:sdtPr>
    <w:sdtContent>
      <w:p w14:paraId="1AB2B56D" w14:textId="23F3FECC" w:rsidR="00212B6A" w:rsidRDefault="00212B6A">
        <w:pPr>
          <w:pStyle w:val="Header"/>
        </w:pPr>
        <w:r>
          <w:rPr>
            <w:noProof/>
          </w:rPr>
          <w:pict w14:anchorId="16250C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1577011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5CE" w14:textId="77777777" w:rsidR="00212B6A" w:rsidRDefault="0021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010"/>
    <w:multiLevelType w:val="multilevel"/>
    <w:tmpl w:val="3DECD976"/>
    <w:lvl w:ilvl="0">
      <w:start w:val="1"/>
      <w:numFmt w:val="decimal"/>
      <w:lvlText w:val="%1"/>
      <w:lvlJc w:val="left"/>
      <w:pPr>
        <w:ind w:left="9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3451EA9"/>
    <w:multiLevelType w:val="multilevel"/>
    <w:tmpl w:val="26BEC962"/>
    <w:lvl w:ilvl="0">
      <w:start w:val="3"/>
      <w:numFmt w:val="decimal"/>
      <w:lvlText w:val="%1"/>
      <w:lvlJc w:val="left"/>
      <w:pPr>
        <w:ind w:left="93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9" w:hanging="72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053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02" w:hanging="1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3" w:hanging="1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4" w:hanging="1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5" w:hanging="1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6" w:hanging="1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57" w:hanging="114"/>
      </w:pPr>
      <w:rPr>
        <w:rFonts w:hint="default"/>
        <w:lang w:val="en-US" w:eastAsia="en-US" w:bidi="ar-SA"/>
      </w:rPr>
    </w:lvl>
  </w:abstractNum>
  <w:abstractNum w:abstractNumId="2" w15:restartNumberingAfterBreak="0">
    <w:nsid w:val="6C250322"/>
    <w:multiLevelType w:val="multilevel"/>
    <w:tmpl w:val="2D0EB5FC"/>
    <w:lvl w:ilvl="0">
      <w:start w:val="2"/>
      <w:numFmt w:val="decimal"/>
      <w:lvlText w:val="%1"/>
      <w:lvlJc w:val="left"/>
      <w:pPr>
        <w:ind w:left="9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40"/>
    <w:rsid w:val="0001112D"/>
    <w:rsid w:val="000E1EDE"/>
    <w:rsid w:val="001A09F0"/>
    <w:rsid w:val="00212B6A"/>
    <w:rsid w:val="002308BE"/>
    <w:rsid w:val="004157FA"/>
    <w:rsid w:val="004517BB"/>
    <w:rsid w:val="00487960"/>
    <w:rsid w:val="0049125F"/>
    <w:rsid w:val="00620586"/>
    <w:rsid w:val="00637435"/>
    <w:rsid w:val="00730328"/>
    <w:rsid w:val="009F482F"/>
    <w:rsid w:val="00A351EA"/>
    <w:rsid w:val="00A7482C"/>
    <w:rsid w:val="00B6388B"/>
    <w:rsid w:val="00B64F40"/>
    <w:rsid w:val="00BF1BED"/>
    <w:rsid w:val="00C03C3A"/>
    <w:rsid w:val="00C87116"/>
    <w:rsid w:val="00E3633F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9D4AA9"/>
  <w15:docId w15:val="{B5386370-24D9-42F4-BA19-073BE3DA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740" w:right="373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39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B6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21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B6A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2056</Characters>
  <Application>Microsoft Office Word</Application>
  <DocSecurity>0</DocSecurity>
  <Lines>17</Lines>
  <Paragraphs>4</Paragraphs>
  <ScaleCrop>false</ScaleCrop>
  <Company>Mountwest Community &amp; Technical College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E-52 Capital Spending</dc:title>
  <dc:creator>drichards</dc:creator>
  <cp:lastModifiedBy>Kristi R. Williams</cp:lastModifiedBy>
  <cp:revision>21</cp:revision>
  <dcterms:created xsi:type="dcterms:W3CDTF">2023-10-17T13:52:00Z</dcterms:created>
  <dcterms:modified xsi:type="dcterms:W3CDTF">2023-10-17T14:07:00Z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2023-10-17T00:00:00Z</vt:filetime>
  </property>
  <property fmtid="{D5CDD505-2E9C-101B-9397-08002B2CF9AE}" pid="5" name="Producer">
    <vt:lpwstr>Acrobat Distiller 8.1.0 (Windows)</vt:lpwstr>
  </property>
</Properties>
</file>